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1FEAC" w14:textId="77777777" w:rsidR="003A4BC2" w:rsidRDefault="003A4BC2" w:rsidP="007B195C">
      <w:pPr>
        <w:bidi/>
        <w:spacing w:before="120"/>
        <w:jc w:val="center"/>
        <w:rPr>
          <w:rFonts w:ascii="Gill Sans MT" w:eastAsia="Gill Sans MT" w:hAnsi="Gill Sans MT" w:cs="Arial"/>
          <w:b/>
          <w:bCs/>
          <w:color w:val="002F6C"/>
          <w:sz w:val="28"/>
          <w:szCs w:val="28"/>
          <w:lang w:bidi="ar-JO"/>
        </w:rPr>
      </w:pPr>
    </w:p>
    <w:p w14:paraId="398B4A6D" w14:textId="0D98CBFE" w:rsidR="004027AA" w:rsidRPr="00D97137" w:rsidRDefault="009A40CE" w:rsidP="00D97137">
      <w:pPr>
        <w:bidi/>
        <w:spacing w:before="120"/>
        <w:jc w:val="center"/>
        <w:rPr>
          <w:rFonts w:ascii="Gill Sans MT" w:eastAsia="Gill Sans MT" w:hAnsi="Gill Sans MT" w:cs="Arial"/>
          <w:b/>
          <w:bCs/>
          <w:color w:val="002F6C"/>
          <w:sz w:val="28"/>
          <w:szCs w:val="28"/>
        </w:rPr>
      </w:pPr>
      <w:r w:rsidRPr="00D97137">
        <w:rPr>
          <w:rFonts w:ascii="Gill Sans MT" w:eastAsia="Gill Sans MT" w:hAnsi="Gill Sans MT" w:cs="Arial" w:hint="cs"/>
          <w:b/>
          <w:bCs/>
          <w:color w:val="002F6C"/>
          <w:sz w:val="28"/>
          <w:szCs w:val="28"/>
          <w:rtl/>
        </w:rPr>
        <w:t>برنامج</w:t>
      </w:r>
      <w:r w:rsidR="00CA1AB8" w:rsidRPr="00D97137">
        <w:rPr>
          <w:rFonts w:ascii="Gill Sans MT" w:eastAsia="Gill Sans MT" w:hAnsi="Gill Sans MT" w:cs="Arial" w:hint="cs"/>
          <w:b/>
          <w:bCs/>
          <w:color w:val="002F6C"/>
          <w:sz w:val="28"/>
          <w:szCs w:val="28"/>
          <w:rtl/>
        </w:rPr>
        <w:t xml:space="preserve"> </w:t>
      </w:r>
      <w:r w:rsidR="008542C5" w:rsidRPr="00D97137">
        <w:rPr>
          <w:rFonts w:ascii="Gill Sans MT" w:eastAsia="Gill Sans MT" w:hAnsi="Gill Sans MT" w:cs="Arial" w:hint="cs"/>
          <w:b/>
          <w:bCs/>
          <w:color w:val="002F6C"/>
          <w:sz w:val="28"/>
          <w:szCs w:val="28"/>
          <w:rtl/>
        </w:rPr>
        <w:t>شركاء “</w:t>
      </w:r>
      <w:r w:rsidR="00005780" w:rsidRPr="00D97137">
        <w:rPr>
          <w:rFonts w:ascii="Gill Sans MT" w:eastAsia="Gill Sans MT" w:hAnsi="Gill Sans MT" w:cs="Arial" w:hint="cs"/>
          <w:b/>
          <w:bCs/>
          <w:color w:val="002F6C"/>
          <w:sz w:val="28"/>
          <w:szCs w:val="28"/>
          <w:rtl/>
        </w:rPr>
        <w:t>صوت"</w:t>
      </w:r>
      <w:r w:rsidR="00CA1AB8" w:rsidRPr="00D97137">
        <w:rPr>
          <w:rFonts w:ascii="Gill Sans MT" w:eastAsia="Gill Sans MT" w:hAnsi="Gill Sans MT" w:cs="Arial" w:hint="cs"/>
          <w:b/>
          <w:bCs/>
          <w:color w:val="002F6C"/>
          <w:sz w:val="28"/>
          <w:szCs w:val="28"/>
          <w:rtl/>
        </w:rPr>
        <w:t xml:space="preserve"> لكسب التأييد</w:t>
      </w:r>
      <w:r w:rsidR="00397784" w:rsidRPr="00D97137">
        <w:rPr>
          <w:rFonts w:ascii="Gill Sans MT" w:eastAsia="Gill Sans MT" w:hAnsi="Gill Sans MT" w:cs="Arial"/>
          <w:b/>
          <w:bCs/>
          <w:color w:val="002F6C"/>
          <w:sz w:val="28"/>
          <w:szCs w:val="28"/>
          <w:rtl/>
        </w:rPr>
        <w:t>–</w:t>
      </w:r>
      <w:r w:rsidR="00397784" w:rsidRPr="00D97137">
        <w:rPr>
          <w:rFonts w:ascii="Gill Sans MT" w:eastAsia="Gill Sans MT" w:hAnsi="Gill Sans MT" w:cs="Arial" w:hint="cs"/>
          <w:b/>
          <w:bCs/>
          <w:color w:val="002F6C"/>
          <w:sz w:val="28"/>
          <w:szCs w:val="28"/>
          <w:rtl/>
        </w:rPr>
        <w:t xml:space="preserve"> أداة تقييم </w:t>
      </w:r>
      <w:r w:rsidR="00E65726" w:rsidRPr="00D97137">
        <w:rPr>
          <w:rFonts w:ascii="Gill Sans MT" w:eastAsia="Gill Sans MT" w:hAnsi="Gill Sans MT" w:cs="Arial" w:hint="cs"/>
          <w:b/>
          <w:bCs/>
          <w:color w:val="002F6C"/>
          <w:sz w:val="28"/>
          <w:szCs w:val="28"/>
          <w:rtl/>
        </w:rPr>
        <w:t>كسب التأييد</w:t>
      </w:r>
      <w:r w:rsidR="00217483" w:rsidRPr="00D97137">
        <w:rPr>
          <w:rFonts w:ascii="Gill Sans MT" w:eastAsia="Gill Sans MT" w:hAnsi="Gill Sans MT" w:cs="Arial"/>
          <w:b/>
          <w:bCs/>
          <w:color w:val="002F6C"/>
          <w:sz w:val="28"/>
          <w:szCs w:val="28"/>
        </w:rPr>
        <w:t xml:space="preserve"> </w:t>
      </w:r>
    </w:p>
    <w:p w14:paraId="50D21E1A" w14:textId="77777777" w:rsidR="00362A72" w:rsidRPr="00362A72" w:rsidRDefault="00362A72" w:rsidP="007B195C">
      <w:pPr>
        <w:pStyle w:val="Default"/>
        <w:bidi/>
        <w:jc w:val="center"/>
        <w:rPr>
          <w:sz w:val="28"/>
          <w:szCs w:val="28"/>
        </w:rPr>
      </w:pPr>
    </w:p>
    <w:p w14:paraId="283E7D79" w14:textId="1CCD1929" w:rsidR="003356BE" w:rsidRPr="00397784" w:rsidRDefault="00397784" w:rsidP="007B195C">
      <w:pPr>
        <w:bidi/>
        <w:rPr>
          <w:rFonts w:ascii="Gill Sans MT" w:hAnsi="Gill Sans MT" w:cs="Arial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Gill Sans MT" w:hAnsi="Gill Sans MT" w:cs="Arial" w:hint="cs"/>
          <w:b/>
          <w:bCs/>
          <w:color w:val="000000"/>
          <w:kern w:val="0"/>
          <w:sz w:val="24"/>
          <w:szCs w:val="24"/>
          <w:u w:val="single"/>
          <w:rtl/>
        </w:rPr>
        <w:t xml:space="preserve">أداة تقييم </w:t>
      </w:r>
      <w:r w:rsidR="001C53D5">
        <w:rPr>
          <w:rFonts w:ascii="Gill Sans MT" w:hAnsi="Gill Sans MT" w:cs="Arial" w:hint="cs"/>
          <w:b/>
          <w:bCs/>
          <w:color w:val="000000"/>
          <w:kern w:val="0"/>
          <w:sz w:val="24"/>
          <w:szCs w:val="24"/>
          <w:u w:val="single"/>
          <w:rtl/>
          <w:lang w:bidi="ar-JO"/>
        </w:rPr>
        <w:t>كسب التأييد</w:t>
      </w:r>
      <w:r>
        <w:rPr>
          <w:rFonts w:ascii="Gill Sans MT" w:hAnsi="Gill Sans MT" w:cs="Arial" w:hint="cs"/>
          <w:b/>
          <w:bCs/>
          <w:color w:val="000000"/>
          <w:kern w:val="0"/>
          <w:sz w:val="24"/>
          <w:szCs w:val="24"/>
          <w:u w:val="single"/>
          <w:rtl/>
        </w:rPr>
        <w:t>:</w:t>
      </w:r>
    </w:p>
    <w:p w14:paraId="1C4EE071" w14:textId="01ACD7D4" w:rsidR="00C660DD" w:rsidRDefault="00C660DD" w:rsidP="00C660DD">
      <w:pPr>
        <w:pStyle w:val="Default"/>
        <w:bidi/>
        <w:spacing w:after="120"/>
        <w:jc w:val="both"/>
        <w:rPr>
          <w:rFonts w:cs="Arial"/>
          <w:sz w:val="23"/>
          <w:szCs w:val="23"/>
          <w:rtl/>
        </w:rPr>
      </w:pPr>
      <w:r>
        <w:rPr>
          <w:rFonts w:cs="Arial" w:hint="cs"/>
          <w:sz w:val="23"/>
          <w:szCs w:val="23"/>
          <w:rtl/>
        </w:rPr>
        <w:t xml:space="preserve">أداة تقييم كسب التأييد هي أداة تهدف إلى قياس قدرة مؤسسات المجتمع المدني الشريكة على تنفيذ تدخلات كسب التأييد المبنية على </w:t>
      </w:r>
      <w:r w:rsidR="007B234D">
        <w:rPr>
          <w:rFonts w:cs="Arial" w:hint="cs"/>
          <w:sz w:val="23"/>
          <w:szCs w:val="23"/>
          <w:rtl/>
          <w:lang w:bidi="ar-JO"/>
        </w:rPr>
        <w:t>ال</w:t>
      </w:r>
      <w:r>
        <w:rPr>
          <w:rFonts w:cs="Arial" w:hint="cs"/>
          <w:sz w:val="23"/>
          <w:szCs w:val="23"/>
          <w:rtl/>
        </w:rPr>
        <w:t xml:space="preserve">أدلة. تخضع المؤسسات الشريكة في برنامج "صوت" لجهات كسب التأييد الشريكة إلى تقييم باستخدام أداة تقييم كسب التأييد بعد اختيارها. </w:t>
      </w:r>
    </w:p>
    <w:p w14:paraId="1B7AF0C5" w14:textId="2B10707C" w:rsidR="00F44573" w:rsidRDefault="003C3215" w:rsidP="007B195C">
      <w:pPr>
        <w:pStyle w:val="Default"/>
        <w:bidi/>
        <w:spacing w:after="120"/>
        <w:jc w:val="both"/>
        <w:rPr>
          <w:rFonts w:cs="Arial"/>
          <w:sz w:val="23"/>
          <w:szCs w:val="23"/>
          <w:rtl/>
        </w:rPr>
      </w:pPr>
      <w:r>
        <w:rPr>
          <w:rFonts w:cs="Arial" w:hint="cs"/>
          <w:sz w:val="23"/>
          <w:szCs w:val="23"/>
          <w:rtl/>
        </w:rPr>
        <w:t xml:space="preserve">تقوم الأداة بتقييم قدرة وجاهزية </w:t>
      </w:r>
      <w:r w:rsidR="00534BFB">
        <w:rPr>
          <w:rFonts w:cs="Arial" w:hint="cs"/>
          <w:sz w:val="23"/>
          <w:szCs w:val="23"/>
          <w:rtl/>
        </w:rPr>
        <w:t>مؤسسات</w:t>
      </w:r>
      <w:r>
        <w:rPr>
          <w:rFonts w:cs="Arial" w:hint="cs"/>
          <w:sz w:val="23"/>
          <w:szCs w:val="23"/>
          <w:rtl/>
        </w:rPr>
        <w:t xml:space="preserve"> المجتمع المدني على المشاركة في تدخلات </w:t>
      </w:r>
      <w:r w:rsidR="00E65726">
        <w:rPr>
          <w:rFonts w:cs="Arial" w:hint="cs"/>
          <w:sz w:val="23"/>
          <w:szCs w:val="23"/>
          <w:rtl/>
        </w:rPr>
        <w:t>كسب التأييد</w:t>
      </w:r>
      <w:r w:rsidR="002B4E08">
        <w:rPr>
          <w:rFonts w:cs="Arial" w:hint="cs"/>
          <w:sz w:val="23"/>
          <w:szCs w:val="23"/>
          <w:rtl/>
        </w:rPr>
        <w:t xml:space="preserve">، ويتم الاسترشاد بها في تصميم أنشطة بناء قدرات </w:t>
      </w:r>
      <w:r w:rsidR="00E65726">
        <w:rPr>
          <w:rFonts w:cs="Arial" w:hint="cs"/>
          <w:sz w:val="23"/>
          <w:szCs w:val="23"/>
          <w:rtl/>
        </w:rPr>
        <w:t>كسب التأييد</w:t>
      </w:r>
      <w:r w:rsidR="002B4E08">
        <w:rPr>
          <w:rFonts w:cs="Arial" w:hint="cs"/>
          <w:sz w:val="23"/>
          <w:szCs w:val="23"/>
          <w:rtl/>
        </w:rPr>
        <w:t xml:space="preserve"> لتناسب</w:t>
      </w:r>
      <w:r w:rsidR="0001428D">
        <w:rPr>
          <w:rFonts w:cs="Arial" w:hint="cs"/>
          <w:sz w:val="23"/>
          <w:szCs w:val="23"/>
          <w:rtl/>
        </w:rPr>
        <w:t xml:space="preserve"> الاحتياجات والمتطلبات الفريدة ل</w:t>
      </w:r>
      <w:r w:rsidR="00534BFB">
        <w:rPr>
          <w:rFonts w:cs="Arial" w:hint="cs"/>
          <w:sz w:val="23"/>
          <w:szCs w:val="23"/>
          <w:rtl/>
        </w:rPr>
        <w:t>مؤسسات</w:t>
      </w:r>
      <w:r w:rsidR="0001428D">
        <w:rPr>
          <w:rFonts w:cs="Arial" w:hint="cs"/>
          <w:sz w:val="23"/>
          <w:szCs w:val="23"/>
          <w:rtl/>
        </w:rPr>
        <w:t xml:space="preserve"> المجتمع المدني الشريكة. </w:t>
      </w:r>
      <w:r w:rsidR="00A107F3">
        <w:rPr>
          <w:rFonts w:cs="Arial" w:hint="cs"/>
          <w:sz w:val="23"/>
          <w:szCs w:val="23"/>
          <w:rtl/>
        </w:rPr>
        <w:t>تُطبّ</w:t>
      </w:r>
      <w:r w:rsidR="00D81FDE">
        <w:rPr>
          <w:rFonts w:cs="Arial" w:hint="cs"/>
          <w:sz w:val="23"/>
          <w:szCs w:val="23"/>
          <w:rtl/>
        </w:rPr>
        <w:t>َ</w:t>
      </w:r>
      <w:r w:rsidR="00A107F3">
        <w:rPr>
          <w:rFonts w:cs="Arial" w:hint="cs"/>
          <w:sz w:val="23"/>
          <w:szCs w:val="23"/>
          <w:rtl/>
        </w:rPr>
        <w:t xml:space="preserve">ق أداة تقييم </w:t>
      </w:r>
      <w:r w:rsidR="00E65726">
        <w:rPr>
          <w:rFonts w:cs="Arial" w:hint="cs"/>
          <w:sz w:val="23"/>
          <w:szCs w:val="23"/>
          <w:rtl/>
        </w:rPr>
        <w:t>كسب التأييد</w:t>
      </w:r>
      <w:r w:rsidR="00A107F3">
        <w:rPr>
          <w:rFonts w:cs="Arial" w:hint="cs"/>
          <w:sz w:val="23"/>
          <w:szCs w:val="23"/>
          <w:rtl/>
        </w:rPr>
        <w:t xml:space="preserve"> قبل بداية البرنامج </w:t>
      </w:r>
      <w:r w:rsidR="006D3042">
        <w:rPr>
          <w:rFonts w:cs="Arial" w:hint="cs"/>
          <w:sz w:val="23"/>
          <w:szCs w:val="23"/>
          <w:rtl/>
        </w:rPr>
        <w:t>لتحديد</w:t>
      </w:r>
      <w:r w:rsidR="00A107F3">
        <w:rPr>
          <w:rFonts w:cs="Arial" w:hint="cs"/>
          <w:sz w:val="23"/>
          <w:szCs w:val="23"/>
          <w:rtl/>
        </w:rPr>
        <w:t xml:space="preserve"> خط أساس</w:t>
      </w:r>
      <w:r w:rsidR="006D3042">
        <w:rPr>
          <w:rFonts w:cs="Arial" w:hint="cs"/>
          <w:sz w:val="23"/>
          <w:szCs w:val="23"/>
          <w:rtl/>
        </w:rPr>
        <w:t xml:space="preserve"> قدرات ال</w:t>
      </w:r>
      <w:r w:rsidR="00534BFB">
        <w:rPr>
          <w:rFonts w:cs="Arial" w:hint="cs"/>
          <w:sz w:val="23"/>
          <w:szCs w:val="23"/>
          <w:rtl/>
        </w:rPr>
        <w:t>مؤسسات</w:t>
      </w:r>
      <w:r w:rsidR="006D3042">
        <w:rPr>
          <w:rFonts w:cs="Arial" w:hint="cs"/>
          <w:sz w:val="23"/>
          <w:szCs w:val="23"/>
          <w:rtl/>
        </w:rPr>
        <w:t xml:space="preserve"> المشاركة، </w:t>
      </w:r>
      <w:r w:rsidR="00F44573">
        <w:rPr>
          <w:rFonts w:cs="Arial" w:hint="cs"/>
          <w:sz w:val="23"/>
          <w:szCs w:val="23"/>
          <w:rtl/>
        </w:rPr>
        <w:t xml:space="preserve">وكذلك بعد اختتام أنشطة بناء القدرات </w:t>
      </w:r>
      <w:r w:rsidR="00FA1A2C">
        <w:rPr>
          <w:rFonts w:cs="Arial" w:hint="cs"/>
          <w:sz w:val="23"/>
          <w:szCs w:val="23"/>
          <w:rtl/>
        </w:rPr>
        <w:t>والمساعدة</w:t>
      </w:r>
      <w:r w:rsidR="00F44573">
        <w:rPr>
          <w:rFonts w:cs="Arial" w:hint="cs"/>
          <w:sz w:val="23"/>
          <w:szCs w:val="23"/>
          <w:rtl/>
        </w:rPr>
        <w:t xml:space="preserve"> الفني</w:t>
      </w:r>
      <w:r w:rsidR="00FA1A2C">
        <w:rPr>
          <w:rFonts w:cs="Arial" w:hint="cs"/>
          <w:sz w:val="23"/>
          <w:szCs w:val="23"/>
          <w:rtl/>
        </w:rPr>
        <w:t>ة</w:t>
      </w:r>
      <w:r w:rsidR="00F44573">
        <w:rPr>
          <w:rFonts w:cs="Arial" w:hint="cs"/>
          <w:sz w:val="23"/>
          <w:szCs w:val="23"/>
          <w:rtl/>
        </w:rPr>
        <w:t xml:space="preserve"> والدعم المالي</w:t>
      </w:r>
      <w:r w:rsidR="00D81FDE">
        <w:rPr>
          <w:rFonts w:cs="Arial" w:hint="cs"/>
          <w:sz w:val="23"/>
          <w:szCs w:val="23"/>
          <w:rtl/>
        </w:rPr>
        <w:t>،</w:t>
      </w:r>
      <w:r w:rsidR="00F44573">
        <w:rPr>
          <w:rFonts w:cs="Arial" w:hint="cs"/>
          <w:sz w:val="23"/>
          <w:szCs w:val="23"/>
          <w:rtl/>
        </w:rPr>
        <w:t xml:space="preserve"> من أجل تقييم حالة التقدم.</w:t>
      </w:r>
    </w:p>
    <w:p w14:paraId="16D1693A" w14:textId="38AA8711" w:rsidR="00E7535D" w:rsidRDefault="00FA1A2C" w:rsidP="007B195C">
      <w:pPr>
        <w:pStyle w:val="Default"/>
        <w:bidi/>
        <w:spacing w:after="120"/>
        <w:jc w:val="both"/>
        <w:rPr>
          <w:rFonts w:cs="Arial"/>
          <w:sz w:val="23"/>
          <w:szCs w:val="23"/>
          <w:rtl/>
        </w:rPr>
      </w:pPr>
      <w:r>
        <w:rPr>
          <w:rFonts w:cs="Arial" w:hint="cs"/>
          <w:sz w:val="23"/>
          <w:szCs w:val="23"/>
          <w:rtl/>
        </w:rPr>
        <w:t xml:space="preserve">كما يتم تضمين نتائج التقييم في خطة بناء القدرات والمساعدة </w:t>
      </w:r>
      <w:r w:rsidR="007C7510">
        <w:rPr>
          <w:rFonts w:cs="Arial" w:hint="cs"/>
          <w:sz w:val="23"/>
          <w:szCs w:val="23"/>
          <w:rtl/>
        </w:rPr>
        <w:t>الفنية الخاصة بال</w:t>
      </w:r>
      <w:r w:rsidR="00534BFB">
        <w:rPr>
          <w:rFonts w:cs="Arial" w:hint="cs"/>
          <w:sz w:val="23"/>
          <w:szCs w:val="23"/>
          <w:rtl/>
        </w:rPr>
        <w:t>مؤسسات</w:t>
      </w:r>
      <w:r w:rsidR="007C7510">
        <w:rPr>
          <w:rFonts w:cs="Arial" w:hint="cs"/>
          <w:sz w:val="23"/>
          <w:szCs w:val="23"/>
          <w:rtl/>
        </w:rPr>
        <w:t>، ويُمكن</w:t>
      </w:r>
      <w:r w:rsidR="00B45488">
        <w:rPr>
          <w:rFonts w:cs="Arial" w:hint="cs"/>
          <w:sz w:val="23"/>
          <w:szCs w:val="23"/>
          <w:rtl/>
        </w:rPr>
        <w:t xml:space="preserve"> للتقييم</w:t>
      </w:r>
      <w:r w:rsidR="007C7510">
        <w:rPr>
          <w:rFonts w:cs="Arial" w:hint="cs"/>
          <w:sz w:val="23"/>
          <w:szCs w:val="23"/>
          <w:rtl/>
        </w:rPr>
        <w:t xml:space="preserve"> أيضاً دعم </w:t>
      </w:r>
      <w:r w:rsidR="00534BFB">
        <w:rPr>
          <w:rFonts w:cs="Arial" w:hint="cs"/>
          <w:sz w:val="23"/>
          <w:szCs w:val="23"/>
          <w:rtl/>
        </w:rPr>
        <w:t>مؤسسات</w:t>
      </w:r>
      <w:r w:rsidR="007C7510">
        <w:rPr>
          <w:rFonts w:cs="Arial" w:hint="cs"/>
          <w:sz w:val="23"/>
          <w:szCs w:val="23"/>
          <w:rtl/>
        </w:rPr>
        <w:t xml:space="preserve"> المجتمع المدني الشريكة في إعداد خطط العمل التي من شأنها معالجة الفجوات </w:t>
      </w:r>
      <w:r w:rsidR="007C7510" w:rsidRPr="00D81FDE">
        <w:rPr>
          <w:rFonts w:cs="Arial" w:hint="cs"/>
          <w:sz w:val="23"/>
          <w:szCs w:val="23"/>
          <w:rtl/>
        </w:rPr>
        <w:t>الفنية</w:t>
      </w:r>
      <w:r w:rsidR="007C7510">
        <w:rPr>
          <w:rFonts w:cs="Arial" w:hint="cs"/>
          <w:sz w:val="23"/>
          <w:szCs w:val="23"/>
          <w:rtl/>
        </w:rPr>
        <w:t xml:space="preserve"> </w:t>
      </w:r>
      <w:r w:rsidR="00D81FDE">
        <w:rPr>
          <w:rFonts w:cs="Arial" w:hint="cs"/>
          <w:sz w:val="23"/>
          <w:szCs w:val="23"/>
          <w:rtl/>
        </w:rPr>
        <w:t>والمؤسسية</w:t>
      </w:r>
      <w:r w:rsidR="00144BE1">
        <w:rPr>
          <w:rFonts w:cs="Arial" w:hint="cs"/>
          <w:sz w:val="23"/>
          <w:szCs w:val="23"/>
          <w:rtl/>
        </w:rPr>
        <w:t xml:space="preserve"> التي تم تحديدها </w:t>
      </w:r>
      <w:r w:rsidR="00E7535D">
        <w:rPr>
          <w:rFonts w:cs="Arial" w:hint="cs"/>
          <w:sz w:val="23"/>
          <w:szCs w:val="23"/>
          <w:rtl/>
        </w:rPr>
        <w:t>من خلال التقييم.</w:t>
      </w:r>
    </w:p>
    <w:p w14:paraId="3BEC5475" w14:textId="51BEBF48" w:rsidR="00C6287C" w:rsidRPr="00AA3C5B" w:rsidRDefault="00C6287C" w:rsidP="00C6287C">
      <w:pPr>
        <w:pStyle w:val="Default"/>
        <w:bidi/>
        <w:spacing w:after="120"/>
        <w:jc w:val="both"/>
        <w:rPr>
          <w:rFonts w:cs="Arial"/>
          <w:sz w:val="23"/>
          <w:szCs w:val="23"/>
          <w:u w:val="single"/>
          <w:rtl/>
        </w:rPr>
      </w:pPr>
      <w:r>
        <w:rPr>
          <w:rFonts w:cs="Arial" w:hint="cs"/>
          <w:sz w:val="23"/>
          <w:szCs w:val="23"/>
          <w:u w:val="single"/>
          <w:rtl/>
        </w:rPr>
        <w:t>محاور</w:t>
      </w:r>
      <w:r w:rsidRPr="00AA3C5B">
        <w:rPr>
          <w:rFonts w:cs="Arial" w:hint="cs"/>
          <w:sz w:val="23"/>
          <w:szCs w:val="23"/>
          <w:u w:val="single"/>
          <w:rtl/>
        </w:rPr>
        <w:t xml:space="preserve"> القدر</w:t>
      </w:r>
      <w:r>
        <w:rPr>
          <w:rFonts w:cs="Arial" w:hint="cs"/>
          <w:sz w:val="23"/>
          <w:szCs w:val="23"/>
          <w:u w:val="single"/>
          <w:rtl/>
        </w:rPr>
        <w:t>ات</w:t>
      </w:r>
      <w:r w:rsidRPr="00AA3C5B">
        <w:rPr>
          <w:rFonts w:cs="Arial" w:hint="cs"/>
          <w:sz w:val="23"/>
          <w:szCs w:val="23"/>
          <w:u w:val="single"/>
          <w:rtl/>
        </w:rPr>
        <w:t xml:space="preserve"> الرئيسية </w:t>
      </w:r>
      <w:r>
        <w:rPr>
          <w:rFonts w:cs="Arial" w:hint="cs"/>
          <w:sz w:val="23"/>
          <w:szCs w:val="23"/>
          <w:u w:val="single"/>
          <w:rtl/>
        </w:rPr>
        <w:t>المُقاسَة</w:t>
      </w:r>
      <w:r w:rsidRPr="00AA3C5B">
        <w:rPr>
          <w:rFonts w:cs="Arial" w:hint="cs"/>
          <w:sz w:val="23"/>
          <w:szCs w:val="23"/>
          <w:u w:val="single"/>
          <w:rtl/>
        </w:rPr>
        <w:t xml:space="preserve"> باستخدام الأد</w:t>
      </w:r>
      <w:r>
        <w:rPr>
          <w:rFonts w:cs="Arial" w:hint="cs"/>
          <w:sz w:val="23"/>
          <w:szCs w:val="23"/>
          <w:u w:val="single"/>
          <w:rtl/>
        </w:rPr>
        <w:t>ا</w:t>
      </w:r>
      <w:r w:rsidRPr="00AA3C5B">
        <w:rPr>
          <w:rFonts w:cs="Arial" w:hint="cs"/>
          <w:sz w:val="23"/>
          <w:szCs w:val="23"/>
          <w:u w:val="single"/>
          <w:rtl/>
        </w:rPr>
        <w:t>ة:</w:t>
      </w:r>
    </w:p>
    <w:p w14:paraId="7470D854" w14:textId="77777777" w:rsidR="00C6287C" w:rsidRDefault="00C6287C" w:rsidP="00C6287C">
      <w:pPr>
        <w:pStyle w:val="Default"/>
        <w:numPr>
          <w:ilvl w:val="0"/>
          <w:numId w:val="25"/>
        </w:numPr>
        <w:bidi/>
        <w:spacing w:after="120"/>
        <w:ind w:left="429"/>
        <w:jc w:val="both"/>
        <w:rPr>
          <w:rFonts w:cs="Arial"/>
          <w:sz w:val="23"/>
          <w:szCs w:val="23"/>
        </w:rPr>
      </w:pPr>
      <w:r>
        <w:rPr>
          <w:rFonts w:cs="Arial" w:hint="cs"/>
          <w:sz w:val="23"/>
          <w:szCs w:val="23"/>
          <w:rtl/>
        </w:rPr>
        <w:t>غايات وخطط واستراتيجيات كسب التأييد</w:t>
      </w:r>
    </w:p>
    <w:p w14:paraId="282807D4" w14:textId="77777777" w:rsidR="00C6287C" w:rsidRDefault="00C6287C" w:rsidP="00C6287C">
      <w:pPr>
        <w:pStyle w:val="Default"/>
        <w:bidi/>
        <w:spacing w:after="120"/>
        <w:ind w:left="429"/>
        <w:jc w:val="both"/>
        <w:rPr>
          <w:rFonts w:cs="Arial"/>
          <w:sz w:val="23"/>
          <w:szCs w:val="23"/>
        </w:rPr>
      </w:pPr>
      <w:r>
        <w:rPr>
          <w:rFonts w:cs="Arial" w:hint="cs"/>
          <w:sz w:val="23"/>
          <w:szCs w:val="23"/>
          <w:rtl/>
        </w:rPr>
        <w:t>يستهدف هذا المحور استراتيجية كسب التأييد وخطة العمل وتنفيذ الأنشطة طبقاً للتوجه الاستراتيجي، إضافةً إلى قياس القدرة على متابعة وتقييم الاستراتيجية المؤسسية والابتكار.</w:t>
      </w:r>
    </w:p>
    <w:tbl>
      <w:tblPr>
        <w:tblpPr w:leftFromText="180" w:rightFromText="180" w:vertAnchor="text" w:horzAnchor="margin" w:tblpXSpec="center" w:tblpY="49"/>
        <w:bidiVisual/>
        <w:tblW w:w="8353" w:type="dxa"/>
        <w:tblLook w:val="04A0" w:firstRow="1" w:lastRow="0" w:firstColumn="1" w:lastColumn="0" w:noHBand="0" w:noVBand="1"/>
      </w:tblPr>
      <w:tblGrid>
        <w:gridCol w:w="8353"/>
      </w:tblGrid>
      <w:tr w:rsidR="00DF2045" w:rsidRPr="00DD1F2E" w14:paraId="55BE67CD" w14:textId="77777777" w:rsidTr="002603B0">
        <w:trPr>
          <w:trHeight w:val="620"/>
        </w:trPr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A3B732C" w14:textId="77777777" w:rsidR="00DF2045" w:rsidRPr="00E86643" w:rsidRDefault="00DF2045" w:rsidP="002603B0">
            <w:pPr>
              <w:pStyle w:val="ListParagraph"/>
              <w:numPr>
                <w:ilvl w:val="1"/>
                <w:numId w:val="27"/>
              </w:num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 xml:space="preserve">المؤسسة </w:t>
            </w:r>
            <w:r w:rsidRPr="00E86643"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>لديها استراتيجية ل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 xml:space="preserve">كسب التأييد </w:t>
            </w:r>
            <w:r w:rsidRPr="00E86643"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>أو قسم / جزء مخصص ل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 xml:space="preserve">كسب التأييد </w:t>
            </w:r>
            <w:r w:rsidRPr="00E86643"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>مشمول في استراتيجيتها</w:t>
            </w:r>
          </w:p>
        </w:tc>
      </w:tr>
      <w:tr w:rsidR="00DF2045" w:rsidRPr="00DD1F2E" w14:paraId="330B0ABB" w14:textId="77777777" w:rsidTr="002603B0">
        <w:trPr>
          <w:trHeight w:val="537"/>
        </w:trPr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4A11764" w14:textId="77777777" w:rsidR="00DF2045" w:rsidRPr="000639C5" w:rsidRDefault="00DF2045" w:rsidP="002603B0">
            <w:pPr>
              <w:pStyle w:val="ListParagraph"/>
              <w:numPr>
                <w:ilvl w:val="1"/>
                <w:numId w:val="27"/>
              </w:num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 xml:space="preserve">المؤسسة </w:t>
            </w:r>
            <w:r w:rsidRPr="000639C5"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 xml:space="preserve">لديها خطة عمل تستند إلى استراتيجيتها، تتضمن أنشطة 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>كسب التأييد</w:t>
            </w:r>
          </w:p>
        </w:tc>
      </w:tr>
      <w:tr w:rsidR="00DF2045" w:rsidRPr="00DD1F2E" w14:paraId="37E5B4BA" w14:textId="77777777" w:rsidTr="002603B0">
        <w:trPr>
          <w:trHeight w:val="609"/>
        </w:trPr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9A772A3" w14:textId="77777777" w:rsidR="00DF2045" w:rsidRPr="00302F17" w:rsidRDefault="00DF2045" w:rsidP="002603B0">
            <w:pPr>
              <w:pStyle w:val="ListParagraph"/>
              <w:numPr>
                <w:ilvl w:val="1"/>
                <w:numId w:val="27"/>
              </w:num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02F17"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>تُنف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>ِ</w:t>
            </w:r>
            <w:r w:rsidRPr="00302F17"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 xml:space="preserve">ذ 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 xml:space="preserve">المؤسسة </w:t>
            </w:r>
            <w:r w:rsidRPr="00302F17"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 xml:space="preserve">أنشطة 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>كسب التأييد</w:t>
            </w:r>
            <w:r w:rsidRPr="00302F17"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 xml:space="preserve"> طبقاً لاستراتيجيتها وخطة العمل</w:t>
            </w:r>
          </w:p>
        </w:tc>
      </w:tr>
      <w:tr w:rsidR="00DF2045" w:rsidRPr="00DD1F2E" w14:paraId="1821FAD0" w14:textId="77777777" w:rsidTr="002603B0">
        <w:trPr>
          <w:trHeight w:val="537"/>
        </w:trPr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253116D" w14:textId="77777777" w:rsidR="00DF2045" w:rsidRPr="00C56466" w:rsidRDefault="00DF2045" w:rsidP="002603B0">
            <w:pPr>
              <w:pStyle w:val="ListParagraph"/>
              <w:numPr>
                <w:ilvl w:val="1"/>
                <w:numId w:val="27"/>
              </w:num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</w:pPr>
            <w:r w:rsidRPr="00C56466"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 xml:space="preserve">تقوم 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 xml:space="preserve">المؤسسة </w:t>
            </w:r>
            <w:r w:rsidRPr="00C56466"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>بمتابعة وتقييم عملية تنفيذ استراتيجيتها</w:t>
            </w:r>
          </w:p>
          <w:p w14:paraId="47D02B82" w14:textId="77777777" w:rsidR="00DF2045" w:rsidRPr="00C56466" w:rsidRDefault="00DF2045" w:rsidP="002603B0">
            <w:pPr>
              <w:pStyle w:val="ListParagraph"/>
              <w:bidi/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56466"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 xml:space="preserve"> </w:t>
            </w:r>
            <w:r w:rsidRPr="00C5646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DF2045" w:rsidRPr="00DD1F2E" w14:paraId="0F906DAE" w14:textId="77777777" w:rsidTr="002603B0">
        <w:trPr>
          <w:trHeight w:val="357"/>
        </w:trPr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A9FCD36" w14:textId="77777777" w:rsidR="00DF2045" w:rsidRPr="00C56466" w:rsidRDefault="00DF2045" w:rsidP="002603B0">
            <w:pPr>
              <w:pStyle w:val="ListParagraph"/>
              <w:numPr>
                <w:ilvl w:val="1"/>
                <w:numId w:val="27"/>
              </w:num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56466"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 xml:space="preserve">تحرص 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 xml:space="preserve">المؤسسة </w:t>
            </w:r>
            <w:r w:rsidRPr="00C56466"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>على مراجعة استراتيجيتها بانتظام وتعكس التغييرات من خلال التغيرات التي تشهدها بيئة السياسات</w:t>
            </w:r>
          </w:p>
        </w:tc>
      </w:tr>
      <w:tr w:rsidR="00DF2045" w:rsidRPr="00DD1F2E" w14:paraId="3F6B309B" w14:textId="77777777" w:rsidTr="002603B0">
        <w:trPr>
          <w:trHeight w:val="618"/>
        </w:trPr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2CC769E" w14:textId="77777777" w:rsidR="00DF2045" w:rsidRPr="00DC7571" w:rsidRDefault="00DF2045" w:rsidP="002603B0">
            <w:pPr>
              <w:pStyle w:val="ListParagraph"/>
              <w:numPr>
                <w:ilvl w:val="1"/>
                <w:numId w:val="27"/>
              </w:num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 xml:space="preserve">المؤسسة </w:t>
            </w:r>
            <w:r w:rsidRPr="00DC7571"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>تُدمج الابتكار ضمن استراتيجيتها و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 xml:space="preserve">في </w:t>
            </w:r>
            <w:r w:rsidRPr="00DC7571"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>عمليات التنفيذ</w:t>
            </w:r>
          </w:p>
          <w:p w14:paraId="68EF4D09" w14:textId="77777777" w:rsidR="00DF2045" w:rsidRPr="00DC7571" w:rsidRDefault="00DF2045" w:rsidP="002603B0">
            <w:pPr>
              <w:pStyle w:val="ListParagraph"/>
              <w:bidi/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C75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</w:p>
        </w:tc>
      </w:tr>
    </w:tbl>
    <w:p w14:paraId="65CE86EC" w14:textId="77777777" w:rsidR="00DF2045" w:rsidRPr="00DF2045" w:rsidRDefault="00DF2045" w:rsidP="00DF2045">
      <w:pPr>
        <w:pStyle w:val="Default"/>
        <w:bidi/>
        <w:spacing w:after="120"/>
        <w:ind w:left="429"/>
        <w:jc w:val="both"/>
        <w:rPr>
          <w:rFonts w:cs="Arial"/>
          <w:sz w:val="23"/>
          <w:szCs w:val="23"/>
          <w:rtl/>
        </w:rPr>
      </w:pPr>
    </w:p>
    <w:p w14:paraId="22C1067E" w14:textId="77777777" w:rsidR="00C6287C" w:rsidRDefault="00C6287C" w:rsidP="00C6287C">
      <w:pPr>
        <w:pStyle w:val="Default"/>
        <w:numPr>
          <w:ilvl w:val="0"/>
          <w:numId w:val="25"/>
        </w:numPr>
        <w:bidi/>
        <w:spacing w:after="120"/>
        <w:ind w:left="429"/>
        <w:jc w:val="both"/>
        <w:rPr>
          <w:rFonts w:cs="Arial"/>
          <w:sz w:val="23"/>
          <w:szCs w:val="23"/>
        </w:rPr>
      </w:pPr>
      <w:r>
        <w:rPr>
          <w:rFonts w:cs="Arial" w:hint="cs"/>
          <w:sz w:val="23"/>
          <w:szCs w:val="23"/>
          <w:rtl/>
        </w:rPr>
        <w:t xml:space="preserve">الأبحاث </w:t>
      </w:r>
      <w:r>
        <w:rPr>
          <w:rFonts w:cs="Arial" w:hint="cs"/>
          <w:sz w:val="23"/>
          <w:szCs w:val="23"/>
          <w:rtl/>
          <w:lang w:bidi="ar-JO"/>
        </w:rPr>
        <w:t>وانتاج</w:t>
      </w:r>
      <w:r>
        <w:rPr>
          <w:rFonts w:cs="Arial" w:hint="cs"/>
          <w:sz w:val="23"/>
          <w:szCs w:val="23"/>
          <w:rtl/>
        </w:rPr>
        <w:t xml:space="preserve"> الأدلة واستخدامها</w:t>
      </w:r>
    </w:p>
    <w:p w14:paraId="7682FC9B" w14:textId="262451D1" w:rsidR="00DF2045" w:rsidRPr="00DF2045" w:rsidRDefault="00C6287C" w:rsidP="00DF2045">
      <w:pPr>
        <w:pStyle w:val="Default"/>
        <w:bidi/>
        <w:spacing w:after="120"/>
        <w:ind w:left="429"/>
        <w:jc w:val="both"/>
        <w:rPr>
          <w:rFonts w:cs="Arial"/>
          <w:sz w:val="23"/>
          <w:szCs w:val="23"/>
        </w:rPr>
      </w:pPr>
      <w:r>
        <w:rPr>
          <w:rFonts w:cs="Arial" w:hint="cs"/>
          <w:sz w:val="23"/>
          <w:szCs w:val="23"/>
          <w:rtl/>
        </w:rPr>
        <w:t>يُقيّم هذا المحور قدرة المؤسسة على الاستفادة من الأدلة ذات الصلة بأجندة كسب التأييد الخاصة بها، وإجراء الأبحاث لإنتاج الأدلة، ومشاركتها مع الأطراف الأخرى</w:t>
      </w:r>
      <w:r w:rsidR="00DF2045">
        <w:rPr>
          <w:rFonts w:cs="Arial"/>
          <w:sz w:val="23"/>
          <w:szCs w:val="23"/>
        </w:rPr>
        <w:t>.</w:t>
      </w:r>
    </w:p>
    <w:tbl>
      <w:tblPr>
        <w:tblpPr w:leftFromText="180" w:rightFromText="180" w:vertAnchor="text" w:horzAnchor="margin" w:tblpXSpec="center" w:tblpY="455"/>
        <w:bidiVisual/>
        <w:tblW w:w="8266" w:type="dxa"/>
        <w:tblLook w:val="04A0" w:firstRow="1" w:lastRow="0" w:firstColumn="1" w:lastColumn="0" w:noHBand="0" w:noVBand="1"/>
      </w:tblPr>
      <w:tblGrid>
        <w:gridCol w:w="8266"/>
      </w:tblGrid>
      <w:tr w:rsidR="00DF2045" w:rsidRPr="008939B1" w14:paraId="23145177" w14:textId="77777777" w:rsidTr="00DF2045">
        <w:trPr>
          <w:trHeight w:val="350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879C8AC" w14:textId="77777777" w:rsidR="00DF2045" w:rsidRPr="008939B1" w:rsidRDefault="00DF2045" w:rsidP="00DF204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>2.1 تستخدم المؤسسة أدلة حديثة للاسترشاد بها على صعيد أجندة/نطاق أعمال كسب التأييد</w:t>
            </w:r>
          </w:p>
        </w:tc>
      </w:tr>
      <w:tr w:rsidR="00DF2045" w:rsidRPr="008939B1" w14:paraId="7CA213B3" w14:textId="77777777" w:rsidTr="00DF2045">
        <w:trPr>
          <w:trHeight w:val="431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D861A0C" w14:textId="77777777" w:rsidR="00DF2045" w:rsidRPr="008939B1" w:rsidRDefault="00DF2045" w:rsidP="00DF204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>2.2 تتولى المؤسسة بحث وتحليل أثر السياسات الحالية وبيئتها وفرص دعم غاياتها</w:t>
            </w:r>
          </w:p>
        </w:tc>
      </w:tr>
      <w:tr w:rsidR="00DF2045" w:rsidRPr="008939B1" w14:paraId="118362A1" w14:textId="77777777" w:rsidTr="00DF2045">
        <w:trPr>
          <w:trHeight w:val="359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0DAB5F5" w14:textId="77777777" w:rsidR="00DF2045" w:rsidRPr="008939B1" w:rsidRDefault="00DF2045" w:rsidP="00DF204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 xml:space="preserve">2.3 تقوم المؤسسة بأنشطة بحثية للاسترشاد بها ولكسب التأييد لأجندتها </w:t>
            </w:r>
            <w:r w:rsidRPr="008939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DF2045" w:rsidRPr="008939B1" w14:paraId="4F23CED9" w14:textId="77777777" w:rsidTr="00DF2045">
        <w:trPr>
          <w:trHeight w:val="350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86B803E" w14:textId="77777777" w:rsidR="00DF2045" w:rsidRPr="008939B1" w:rsidRDefault="00DF2045" w:rsidP="00DF204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>2.4 تنشر المؤسسة نتائج استحداث وجمع الأدلة</w:t>
            </w:r>
            <w:r w:rsidRPr="008939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</w:tbl>
    <w:p w14:paraId="5AEC93B3" w14:textId="77777777" w:rsidR="00DF2045" w:rsidRDefault="00DF2045" w:rsidP="00DF2045">
      <w:pPr>
        <w:pStyle w:val="Default"/>
        <w:bidi/>
        <w:spacing w:after="120"/>
        <w:ind w:left="429"/>
        <w:jc w:val="both"/>
        <w:rPr>
          <w:rFonts w:cs="Arial"/>
          <w:sz w:val="23"/>
          <w:szCs w:val="23"/>
        </w:rPr>
      </w:pPr>
    </w:p>
    <w:p w14:paraId="695AE802" w14:textId="77777777" w:rsidR="00DF2045" w:rsidRPr="00DF2045" w:rsidRDefault="00DF2045" w:rsidP="00DF2045">
      <w:pPr>
        <w:pStyle w:val="Default"/>
        <w:bidi/>
        <w:spacing w:after="120"/>
        <w:ind w:left="429"/>
        <w:jc w:val="both"/>
        <w:rPr>
          <w:rFonts w:cs="Arial"/>
          <w:sz w:val="23"/>
          <w:szCs w:val="23"/>
          <w:rtl/>
        </w:rPr>
      </w:pPr>
    </w:p>
    <w:p w14:paraId="6AF6DC6E" w14:textId="77777777" w:rsidR="00C6287C" w:rsidRDefault="00C6287C" w:rsidP="00C6287C">
      <w:pPr>
        <w:pStyle w:val="Default"/>
        <w:numPr>
          <w:ilvl w:val="0"/>
          <w:numId w:val="25"/>
        </w:numPr>
        <w:bidi/>
        <w:spacing w:after="120"/>
        <w:ind w:left="429"/>
        <w:jc w:val="both"/>
        <w:rPr>
          <w:rFonts w:cs="Arial"/>
          <w:sz w:val="23"/>
          <w:szCs w:val="23"/>
        </w:rPr>
      </w:pPr>
      <w:r>
        <w:rPr>
          <w:rFonts w:cs="Arial" w:hint="cs"/>
          <w:sz w:val="23"/>
          <w:szCs w:val="23"/>
          <w:rtl/>
        </w:rPr>
        <w:lastRenderedPageBreak/>
        <w:t>الشراكات وبناء التحالفات والتواصل والتفاوض</w:t>
      </w:r>
    </w:p>
    <w:p w14:paraId="1B73452D" w14:textId="77777777" w:rsidR="00C6287C" w:rsidRDefault="00C6287C" w:rsidP="00C6287C">
      <w:pPr>
        <w:pStyle w:val="Default"/>
        <w:bidi/>
        <w:spacing w:after="120"/>
        <w:ind w:left="429"/>
        <w:jc w:val="both"/>
        <w:rPr>
          <w:rFonts w:cs="Arial"/>
          <w:sz w:val="23"/>
          <w:szCs w:val="23"/>
        </w:rPr>
      </w:pPr>
      <w:r>
        <w:rPr>
          <w:rFonts w:cs="Arial" w:hint="cs"/>
          <w:sz w:val="23"/>
          <w:szCs w:val="23"/>
          <w:rtl/>
        </w:rPr>
        <w:t>يُقيّم هذا المحور القدرة على تحديد أصحاب العلاقة الرئيسيين ذوي الصلة بجهود كسب التأييد والمشاركة معهم، فضلاً عن قياس مستوى مشاركة المؤسسة وموضع قيادتها ودرجة التنسيق داخل الشبكات والتحالفات.</w:t>
      </w:r>
    </w:p>
    <w:tbl>
      <w:tblPr>
        <w:tblpPr w:leftFromText="180" w:rightFromText="180" w:vertAnchor="page" w:horzAnchor="margin" w:tblpXSpec="center" w:tblpY="3357"/>
        <w:bidiVisual/>
        <w:tblW w:w="7952" w:type="dxa"/>
        <w:tblLook w:val="04A0" w:firstRow="1" w:lastRow="0" w:firstColumn="1" w:lastColumn="0" w:noHBand="0" w:noVBand="1"/>
      </w:tblPr>
      <w:tblGrid>
        <w:gridCol w:w="7952"/>
      </w:tblGrid>
      <w:tr w:rsidR="00DF2045" w:rsidRPr="00841D3D" w14:paraId="461FF4FC" w14:textId="77777777" w:rsidTr="00DF2045">
        <w:trPr>
          <w:trHeight w:val="982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C44CAAD" w14:textId="77777777" w:rsidR="00DF2045" w:rsidRPr="00841D3D" w:rsidRDefault="00DF2045" w:rsidP="00DF204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 xml:space="preserve">3.1 تقوم المؤسسة بتحديد أصحاب العلاقة ذوي الصلة (صُناع القرار الرئيسيين، 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:lang w:bidi="ar-JO"/>
                <w14:ligatures w14:val="none"/>
              </w:rPr>
              <w:t>داعمي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 xml:space="preserve"> السياسات، والخصوم بما يشمل المؤسسات والشخصيات الإعلامية) ومطابقتهم بأجندة كسب التأييد لديها</w:t>
            </w:r>
            <w:r w:rsidRPr="00841D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DF2045" w:rsidRPr="00841D3D" w14:paraId="34A50681" w14:textId="77777777" w:rsidTr="00DF2045">
        <w:trPr>
          <w:trHeight w:hRule="exact" w:val="552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30652D8" w14:textId="77777777" w:rsidR="00DF2045" w:rsidRPr="00841D3D" w:rsidRDefault="00DF2045" w:rsidP="00DF204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>3.2 تقوم المؤسسة بالتفاعل والتنسيق مع صُناع القرار وداعمي السياسات</w:t>
            </w:r>
            <w:r w:rsidRPr="00841D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DF2045" w:rsidRPr="00841D3D" w14:paraId="616FD9C7" w14:textId="77777777" w:rsidTr="00DF2045">
        <w:trPr>
          <w:trHeight w:hRule="exact" w:val="444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9F75B21" w14:textId="77777777" w:rsidR="00DF2045" w:rsidRPr="00841D3D" w:rsidRDefault="00DF2045" w:rsidP="00DF204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 xml:space="preserve">3.3 تشارك المؤسسة في شبكات و/أو تحالفات ذات أجندات واهتمامات كسب التأييد مشتركة </w:t>
            </w:r>
            <w:r w:rsidRPr="00841D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DF2045" w:rsidRPr="00841D3D" w14:paraId="4B8816DB" w14:textId="77777777" w:rsidTr="00DF2045">
        <w:trPr>
          <w:trHeight w:val="433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B028A80" w14:textId="77777777" w:rsidR="00DF2045" w:rsidRPr="00841D3D" w:rsidRDefault="00DF2045" w:rsidP="00DF204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>3.4 تتواصل المؤسسة مع شبكتها بشأن حالة جهود كسب التأييد وفرص المشاركة</w:t>
            </w:r>
            <w:r w:rsidRPr="00841D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DF2045" w:rsidRPr="00841D3D" w14:paraId="75657A9B" w14:textId="77777777" w:rsidTr="00DF2045">
        <w:trPr>
          <w:trHeight w:val="532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EE1BEE7" w14:textId="77777777" w:rsidR="00DF2045" w:rsidRPr="00841D3D" w:rsidRDefault="00DF2045" w:rsidP="00DF204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 xml:space="preserve">3.5 المؤسسة لديها شراكات وأوجه تعاون فعالة لكسب التأييد، راسخة ضمن استراتيجية واضحة </w:t>
            </w:r>
            <w:r w:rsidRPr="00841D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DF2045" w:rsidRPr="00841D3D" w14:paraId="768D24C9" w14:textId="77777777" w:rsidTr="00DF2045">
        <w:trPr>
          <w:trHeight w:val="703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11D9294" w14:textId="77777777" w:rsidR="00DF2045" w:rsidRPr="00841D3D" w:rsidRDefault="00DF2045" w:rsidP="00DF204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>3.6 تُنفِذ المؤسسة استراتيجيات للتفاوض وإدارة الخلافات على صعيد جهود كسب التأييد</w:t>
            </w:r>
            <w:r w:rsidRPr="00841D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</w:tbl>
    <w:p w14:paraId="5A1BC3CA" w14:textId="77777777" w:rsidR="00DF2045" w:rsidRDefault="00DF2045" w:rsidP="00DF2045">
      <w:pPr>
        <w:pStyle w:val="Default"/>
        <w:bidi/>
        <w:spacing w:after="120"/>
        <w:ind w:left="429"/>
        <w:jc w:val="both"/>
        <w:rPr>
          <w:rFonts w:cs="Arial"/>
          <w:sz w:val="23"/>
          <w:szCs w:val="23"/>
        </w:rPr>
      </w:pPr>
    </w:p>
    <w:p w14:paraId="00A5B2BD" w14:textId="77777777" w:rsidR="00DF2045" w:rsidRDefault="00DF2045" w:rsidP="00DF2045">
      <w:pPr>
        <w:pStyle w:val="Default"/>
        <w:bidi/>
        <w:spacing w:after="120"/>
        <w:ind w:left="429"/>
        <w:jc w:val="both"/>
        <w:rPr>
          <w:rFonts w:cs="Arial"/>
          <w:sz w:val="23"/>
          <w:szCs w:val="23"/>
        </w:rPr>
      </w:pPr>
    </w:p>
    <w:p w14:paraId="31D93D7D" w14:textId="77777777" w:rsidR="00DF2045" w:rsidRDefault="00DF2045" w:rsidP="00DF2045">
      <w:pPr>
        <w:pStyle w:val="Default"/>
        <w:bidi/>
        <w:spacing w:after="120"/>
        <w:ind w:left="429"/>
        <w:jc w:val="both"/>
        <w:rPr>
          <w:rFonts w:cs="Arial"/>
          <w:sz w:val="23"/>
          <w:szCs w:val="23"/>
        </w:rPr>
      </w:pPr>
    </w:p>
    <w:p w14:paraId="2B2E129E" w14:textId="77777777" w:rsidR="00DF2045" w:rsidRDefault="00DF2045" w:rsidP="00DF2045">
      <w:pPr>
        <w:pStyle w:val="Default"/>
        <w:bidi/>
        <w:spacing w:after="120"/>
        <w:ind w:left="429"/>
        <w:jc w:val="both"/>
        <w:rPr>
          <w:rFonts w:cs="Arial"/>
          <w:sz w:val="23"/>
          <w:szCs w:val="23"/>
        </w:rPr>
      </w:pPr>
    </w:p>
    <w:p w14:paraId="39CA3AA1" w14:textId="77777777" w:rsidR="00DF2045" w:rsidRDefault="00DF2045" w:rsidP="00DF2045">
      <w:pPr>
        <w:pStyle w:val="Default"/>
        <w:bidi/>
        <w:spacing w:after="120"/>
        <w:ind w:left="429"/>
        <w:jc w:val="both"/>
        <w:rPr>
          <w:rFonts w:cs="Arial"/>
          <w:sz w:val="23"/>
          <w:szCs w:val="23"/>
        </w:rPr>
      </w:pPr>
    </w:p>
    <w:p w14:paraId="65D3947B" w14:textId="77777777" w:rsidR="00DF2045" w:rsidRDefault="00DF2045" w:rsidP="00DF2045">
      <w:pPr>
        <w:pStyle w:val="Default"/>
        <w:bidi/>
        <w:spacing w:after="120"/>
        <w:ind w:left="429"/>
        <w:jc w:val="both"/>
        <w:rPr>
          <w:rFonts w:cs="Arial"/>
          <w:sz w:val="23"/>
          <w:szCs w:val="23"/>
        </w:rPr>
      </w:pPr>
    </w:p>
    <w:p w14:paraId="30939FB2" w14:textId="77777777" w:rsidR="00DF2045" w:rsidRDefault="00DF2045" w:rsidP="00DF2045">
      <w:pPr>
        <w:pStyle w:val="Default"/>
        <w:bidi/>
        <w:spacing w:after="120"/>
        <w:ind w:left="429"/>
        <w:jc w:val="both"/>
        <w:rPr>
          <w:rFonts w:cs="Arial"/>
          <w:sz w:val="23"/>
          <w:szCs w:val="23"/>
        </w:rPr>
      </w:pPr>
    </w:p>
    <w:p w14:paraId="13102C10" w14:textId="77777777" w:rsidR="00DF2045" w:rsidRDefault="00DF2045" w:rsidP="00DF2045">
      <w:pPr>
        <w:pStyle w:val="Default"/>
        <w:bidi/>
        <w:spacing w:after="120"/>
        <w:ind w:left="429"/>
        <w:jc w:val="both"/>
        <w:rPr>
          <w:rFonts w:cs="Arial"/>
          <w:sz w:val="23"/>
          <w:szCs w:val="23"/>
        </w:rPr>
      </w:pPr>
    </w:p>
    <w:p w14:paraId="6BD87E33" w14:textId="77777777" w:rsidR="00DF2045" w:rsidRDefault="00DF2045" w:rsidP="00DF2045">
      <w:pPr>
        <w:pStyle w:val="Default"/>
        <w:bidi/>
        <w:spacing w:after="120"/>
        <w:ind w:left="429"/>
        <w:jc w:val="both"/>
        <w:rPr>
          <w:rFonts w:cs="Arial"/>
          <w:sz w:val="23"/>
          <w:szCs w:val="23"/>
        </w:rPr>
      </w:pPr>
    </w:p>
    <w:p w14:paraId="57F4BB16" w14:textId="77777777" w:rsidR="00DF2045" w:rsidRPr="00DF2045" w:rsidRDefault="00DF2045" w:rsidP="00DF2045">
      <w:pPr>
        <w:pStyle w:val="Default"/>
        <w:bidi/>
        <w:spacing w:after="120"/>
        <w:ind w:left="429"/>
        <w:jc w:val="both"/>
        <w:rPr>
          <w:rFonts w:cs="Arial"/>
          <w:sz w:val="23"/>
          <w:szCs w:val="23"/>
          <w:rtl/>
        </w:rPr>
      </w:pPr>
    </w:p>
    <w:p w14:paraId="30318153" w14:textId="77777777" w:rsidR="00C6287C" w:rsidRDefault="00C6287C" w:rsidP="00C6287C">
      <w:pPr>
        <w:pStyle w:val="Default"/>
        <w:numPr>
          <w:ilvl w:val="0"/>
          <w:numId w:val="25"/>
        </w:numPr>
        <w:bidi/>
        <w:spacing w:after="120"/>
        <w:ind w:left="429"/>
        <w:jc w:val="both"/>
        <w:rPr>
          <w:rFonts w:cs="Arial"/>
          <w:sz w:val="23"/>
          <w:szCs w:val="23"/>
        </w:rPr>
      </w:pPr>
      <w:r>
        <w:rPr>
          <w:rFonts w:cs="Arial" w:hint="cs"/>
          <w:sz w:val="23"/>
          <w:szCs w:val="23"/>
          <w:rtl/>
        </w:rPr>
        <w:t>التواصل والاتصالات المتعلقة بكسب التأييد</w:t>
      </w:r>
    </w:p>
    <w:p w14:paraId="2D632F6C" w14:textId="4A36E7BE" w:rsidR="00DF2045" w:rsidRPr="00DF2045" w:rsidRDefault="00C6287C" w:rsidP="00191651">
      <w:pPr>
        <w:pStyle w:val="Default"/>
        <w:bidi/>
        <w:spacing w:after="120"/>
        <w:ind w:left="429"/>
        <w:jc w:val="both"/>
        <w:rPr>
          <w:rFonts w:cs="Arial"/>
          <w:sz w:val="23"/>
          <w:szCs w:val="23"/>
        </w:rPr>
      </w:pPr>
      <w:r>
        <w:rPr>
          <w:rFonts w:cs="Arial" w:hint="cs"/>
          <w:sz w:val="23"/>
          <w:szCs w:val="23"/>
          <w:rtl/>
        </w:rPr>
        <w:t xml:space="preserve">يُقيّم هذا المحور جهود الاتصالات المؤسسية، بما يشمل تحديد القطاعات الرئيسية المستهدفة وإعداد الرسائل الفعالة وإرسالها. كما يُعالج أيضاً العلاقات مع وسائل الإعلام وأهم الشخصيات الإعلامية. </w:t>
      </w:r>
    </w:p>
    <w:p w14:paraId="2EA217D0" w14:textId="77777777" w:rsidR="00DF2045" w:rsidRDefault="00DF2045" w:rsidP="00DF2045">
      <w:pPr>
        <w:pStyle w:val="Default"/>
        <w:bidi/>
        <w:spacing w:after="120"/>
        <w:ind w:left="429"/>
        <w:jc w:val="both"/>
        <w:rPr>
          <w:rFonts w:cs="Arial"/>
          <w:sz w:val="23"/>
          <w:szCs w:val="23"/>
        </w:rPr>
      </w:pPr>
    </w:p>
    <w:tbl>
      <w:tblPr>
        <w:tblpPr w:leftFromText="180" w:rightFromText="180" w:vertAnchor="page" w:horzAnchor="margin" w:tblpXSpec="center" w:tblpY="8614"/>
        <w:bidiVisual/>
        <w:tblW w:w="8452" w:type="dxa"/>
        <w:tblLook w:val="04A0" w:firstRow="1" w:lastRow="0" w:firstColumn="1" w:lastColumn="0" w:noHBand="0" w:noVBand="1"/>
      </w:tblPr>
      <w:tblGrid>
        <w:gridCol w:w="8452"/>
      </w:tblGrid>
      <w:tr w:rsidR="00191651" w:rsidRPr="009F444E" w14:paraId="5E7C18B1" w14:textId="77777777" w:rsidTr="00191651">
        <w:trPr>
          <w:trHeight w:hRule="exact" w:val="730"/>
        </w:trPr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021DF30" w14:textId="77777777" w:rsidR="00191651" w:rsidRPr="009F444E" w:rsidRDefault="00191651" w:rsidP="00191651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 xml:space="preserve">4.1 تقوم المؤسسة بتحديد قطاعاتها الرئيسية المستهدفة وتقييم اهتماماتهم، وحاجتهم إلى المعلومات، وقنواتهم المفضلة  </w:t>
            </w:r>
            <w:r w:rsidRPr="009F444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191651" w:rsidRPr="009F444E" w14:paraId="06006C2B" w14:textId="77777777" w:rsidTr="00191651">
        <w:trPr>
          <w:trHeight w:hRule="exact" w:val="1000"/>
        </w:trPr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9CC19A3" w14:textId="77777777" w:rsidR="00191651" w:rsidRPr="009F444E" w:rsidRDefault="00191651" w:rsidP="00191651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 xml:space="preserve">4.2 تتولى المؤسسة إعداد رسائل واضحة ومحددة (كجزء من كافة أدوات ومنتجات التواصل المستخدمة في جهود كسب التأييد)، وهي مبنية على أدلة ومصممة خصيصاً لتلائم قطاعاتها المستهدفة </w:t>
            </w:r>
            <w:r w:rsidRPr="009F444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191651" w:rsidRPr="009F444E" w14:paraId="61A8185B" w14:textId="77777777" w:rsidTr="00191651">
        <w:trPr>
          <w:trHeight w:hRule="exact" w:val="658"/>
        </w:trPr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9425AF4" w14:textId="77777777" w:rsidR="00191651" w:rsidRPr="009F444E" w:rsidRDefault="00191651" w:rsidP="00191651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>4.3 تستخدم المؤسسة مواد وقنوات تواصل فعالة لغايات وأهداف كسب التأييد</w:t>
            </w:r>
          </w:p>
        </w:tc>
      </w:tr>
      <w:tr w:rsidR="00191651" w:rsidRPr="009F444E" w14:paraId="157DF877" w14:textId="77777777" w:rsidTr="00191651">
        <w:trPr>
          <w:trHeight w:hRule="exact" w:val="649"/>
        </w:trPr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8BB5379" w14:textId="77777777" w:rsidR="00191651" w:rsidRPr="009F444E" w:rsidRDefault="00191651" w:rsidP="00191651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 xml:space="preserve">4.4 المؤسسة على علم ودراية بالمشهد الإعلامي ذي الصلة بنطاق عملها وتتفاعل بشكلٍ فعال مع تطوراته </w:t>
            </w:r>
            <w:r w:rsidRPr="009F444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191651" w:rsidRPr="009F444E" w14:paraId="665AC6D2" w14:textId="77777777" w:rsidTr="00191651">
        <w:trPr>
          <w:trHeight w:val="917"/>
        </w:trPr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CB1A6DA" w14:textId="77777777" w:rsidR="00191651" w:rsidRPr="009F444E" w:rsidRDefault="00191651" w:rsidP="00191651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F444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>4.5 تتواصل المؤسسة بفاعلية مع وسائل الإعلا</w:t>
            </w:r>
            <w:r>
              <w:rPr>
                <w:rFonts w:ascii="Calibri" w:eastAsia="Times New Roman" w:hAnsi="Calibri" w:cs="Calibri" w:hint="eastAsia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>م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 xml:space="preserve"> وأبرز الشخصيات الإعلامية (الأفراد ذوي الصلة والأهمية داخل المؤسسات الإعلامية أو الشخصيات المؤثرة) لدفع غايات السياسات  </w:t>
            </w:r>
          </w:p>
        </w:tc>
      </w:tr>
      <w:tr w:rsidR="00191651" w:rsidRPr="009F444E" w14:paraId="2AD377C4" w14:textId="77777777" w:rsidTr="00191651">
        <w:trPr>
          <w:trHeight w:hRule="exact" w:val="631"/>
        </w:trPr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38A4706" w14:textId="77777777" w:rsidR="00191651" w:rsidRPr="009F444E" w:rsidRDefault="00191651" w:rsidP="00191651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>4.6 تتابع المؤسسة وتُقيّم فاعلية اتصالاتها وجهود التواصل التي تبذلها</w:t>
            </w:r>
          </w:p>
        </w:tc>
      </w:tr>
    </w:tbl>
    <w:p w14:paraId="71C41BDC" w14:textId="77777777" w:rsidR="00DF2045" w:rsidRDefault="00DF2045" w:rsidP="00DF2045">
      <w:pPr>
        <w:pStyle w:val="Default"/>
        <w:bidi/>
        <w:spacing w:after="120"/>
        <w:ind w:left="429"/>
        <w:jc w:val="both"/>
        <w:rPr>
          <w:rFonts w:cs="Arial"/>
          <w:sz w:val="23"/>
          <w:szCs w:val="23"/>
        </w:rPr>
      </w:pPr>
    </w:p>
    <w:p w14:paraId="0907BBCB" w14:textId="77777777" w:rsidR="00DF2045" w:rsidRDefault="00DF2045" w:rsidP="00DF2045">
      <w:pPr>
        <w:pStyle w:val="Default"/>
        <w:bidi/>
        <w:spacing w:after="120"/>
        <w:ind w:left="429"/>
        <w:jc w:val="both"/>
        <w:rPr>
          <w:rFonts w:cs="Arial"/>
          <w:sz w:val="23"/>
          <w:szCs w:val="23"/>
        </w:rPr>
      </w:pPr>
    </w:p>
    <w:p w14:paraId="0D280AB8" w14:textId="77777777" w:rsidR="00DF2045" w:rsidRDefault="00DF2045" w:rsidP="00191651">
      <w:pPr>
        <w:pStyle w:val="Default"/>
        <w:bidi/>
        <w:spacing w:after="120"/>
        <w:jc w:val="both"/>
        <w:rPr>
          <w:rFonts w:cs="Arial"/>
          <w:sz w:val="23"/>
          <w:szCs w:val="23"/>
        </w:rPr>
      </w:pPr>
    </w:p>
    <w:p w14:paraId="4B07B972" w14:textId="77777777" w:rsidR="00DF2045" w:rsidRPr="00DF2045" w:rsidRDefault="00DF2045" w:rsidP="00DF2045">
      <w:pPr>
        <w:pStyle w:val="Default"/>
        <w:bidi/>
        <w:spacing w:after="120"/>
        <w:ind w:left="429"/>
        <w:jc w:val="both"/>
        <w:rPr>
          <w:rFonts w:cs="Arial"/>
          <w:sz w:val="23"/>
          <w:szCs w:val="23"/>
        </w:rPr>
      </w:pPr>
    </w:p>
    <w:p w14:paraId="37AFF1E2" w14:textId="77777777" w:rsidR="00DF2045" w:rsidRDefault="00DF2045" w:rsidP="00DF2045">
      <w:pPr>
        <w:pStyle w:val="Default"/>
        <w:bidi/>
        <w:spacing w:after="120"/>
        <w:ind w:left="429"/>
        <w:jc w:val="both"/>
        <w:rPr>
          <w:rFonts w:cs="Arial"/>
          <w:sz w:val="23"/>
          <w:szCs w:val="23"/>
          <w:rtl/>
        </w:rPr>
      </w:pPr>
    </w:p>
    <w:p w14:paraId="5736C5BA" w14:textId="77777777" w:rsidR="00C6287C" w:rsidRDefault="00C6287C" w:rsidP="00C6287C">
      <w:pPr>
        <w:pStyle w:val="Default"/>
        <w:numPr>
          <w:ilvl w:val="0"/>
          <w:numId w:val="25"/>
        </w:numPr>
        <w:bidi/>
        <w:spacing w:after="120"/>
        <w:ind w:left="429"/>
        <w:jc w:val="both"/>
        <w:rPr>
          <w:rFonts w:cs="Arial"/>
          <w:sz w:val="23"/>
          <w:szCs w:val="23"/>
        </w:rPr>
      </w:pPr>
      <w:r>
        <w:rPr>
          <w:rFonts w:cs="Arial" w:hint="cs"/>
          <w:sz w:val="23"/>
          <w:szCs w:val="23"/>
          <w:rtl/>
        </w:rPr>
        <w:t>كسب التأييد للتشريعات والسياسات</w:t>
      </w:r>
    </w:p>
    <w:p w14:paraId="6B4C5DBD" w14:textId="77777777" w:rsidR="00C6287C" w:rsidRDefault="00C6287C" w:rsidP="00C6287C">
      <w:pPr>
        <w:pStyle w:val="Default"/>
        <w:bidi/>
        <w:spacing w:after="120"/>
        <w:ind w:left="429"/>
        <w:jc w:val="both"/>
        <w:rPr>
          <w:rFonts w:cs="Arial"/>
          <w:sz w:val="23"/>
          <w:szCs w:val="23"/>
        </w:rPr>
      </w:pPr>
      <w:r>
        <w:rPr>
          <w:rFonts w:cs="Arial" w:hint="cs"/>
          <w:sz w:val="23"/>
          <w:szCs w:val="23"/>
          <w:rtl/>
        </w:rPr>
        <w:t>يُقيّم هذا المحور معرفة المؤسسة بالعملية التشريعية والجهود المبذولة للتأثير عليها.</w:t>
      </w:r>
    </w:p>
    <w:tbl>
      <w:tblPr>
        <w:bidiVisual/>
        <w:tblW w:w="790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7"/>
      </w:tblGrid>
      <w:tr w:rsidR="00191651" w:rsidRPr="000F3954" w14:paraId="0799D947" w14:textId="77777777" w:rsidTr="00191651">
        <w:trPr>
          <w:trHeight w:val="701"/>
        </w:trPr>
        <w:tc>
          <w:tcPr>
            <w:tcW w:w="7907" w:type="dxa"/>
            <w:shd w:val="clear" w:color="auto" w:fill="D9D9D9" w:themeFill="background1" w:themeFillShade="D9"/>
            <w:vAlign w:val="center"/>
            <w:hideMark/>
          </w:tcPr>
          <w:p w14:paraId="56EE1B4A" w14:textId="77777777" w:rsidR="00191651" w:rsidRPr="000F3954" w:rsidRDefault="00191651" w:rsidP="002603B0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>5.1 المؤسسة على علم ودراية بالعملية التشريعية وكيفية التأثير عليها (بما يشمل تحديد الميزانية والمخصصات)</w:t>
            </w:r>
            <w:r w:rsidRPr="000F3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191651" w:rsidRPr="000F3954" w14:paraId="5BE9B6D8" w14:textId="77777777" w:rsidTr="00191651">
        <w:trPr>
          <w:trHeight w:val="530"/>
        </w:trPr>
        <w:tc>
          <w:tcPr>
            <w:tcW w:w="7907" w:type="dxa"/>
            <w:shd w:val="clear" w:color="auto" w:fill="D9D9D9" w:themeFill="background1" w:themeFillShade="D9"/>
            <w:vAlign w:val="center"/>
            <w:hideMark/>
          </w:tcPr>
          <w:p w14:paraId="343121C8" w14:textId="77777777" w:rsidR="00191651" w:rsidRPr="000F3954" w:rsidRDefault="00191651" w:rsidP="002603B0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 xml:space="preserve">5.2 تقوم المؤسسة بتعريف المُشرعين المناسبين، واللجان والموظفين، وأصحاب العلاقة المعنيين، وتتابع الأنشطة ذات الصلة </w:t>
            </w:r>
            <w:r w:rsidRPr="000F3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191651" w:rsidRPr="000F3954" w14:paraId="30DC2490" w14:textId="77777777" w:rsidTr="00191651">
        <w:trPr>
          <w:trHeight w:val="440"/>
        </w:trPr>
        <w:tc>
          <w:tcPr>
            <w:tcW w:w="7907" w:type="dxa"/>
            <w:shd w:val="clear" w:color="auto" w:fill="D9D9D9" w:themeFill="background1" w:themeFillShade="D9"/>
            <w:vAlign w:val="center"/>
            <w:hideMark/>
          </w:tcPr>
          <w:p w14:paraId="3018575C" w14:textId="77777777" w:rsidR="00191651" w:rsidRPr="000F3954" w:rsidRDefault="00191651" w:rsidP="002603B0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 xml:space="preserve">5.3 تتولى المؤسسة تحديد ومتابعة وتحليل التشريعات والسياسات المقترحة وأثرها المحتمل على أولوياتها </w:t>
            </w:r>
            <w:r w:rsidRPr="000F39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191651" w:rsidRPr="000F3954" w14:paraId="4F5E05FB" w14:textId="77777777" w:rsidTr="00191651">
        <w:trPr>
          <w:trHeight w:val="440"/>
        </w:trPr>
        <w:tc>
          <w:tcPr>
            <w:tcW w:w="7907" w:type="dxa"/>
            <w:shd w:val="clear" w:color="auto" w:fill="D9D9D9" w:themeFill="background1" w:themeFillShade="D9"/>
            <w:vAlign w:val="center"/>
            <w:hideMark/>
          </w:tcPr>
          <w:p w14:paraId="08736E60" w14:textId="77777777" w:rsidR="00191651" w:rsidRPr="000F3954" w:rsidRDefault="00191651" w:rsidP="002603B0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5.4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 xml:space="preserve"> تشارك المؤسسة في دعم  أو المساعدة في تصميم أو تعديل التشريعات أو السياسات</w:t>
            </w:r>
          </w:p>
        </w:tc>
      </w:tr>
    </w:tbl>
    <w:p w14:paraId="09FB5851" w14:textId="77777777" w:rsidR="00191651" w:rsidRPr="00191651" w:rsidRDefault="00191651" w:rsidP="00191651">
      <w:pPr>
        <w:pStyle w:val="Default"/>
        <w:bidi/>
        <w:spacing w:after="120"/>
        <w:ind w:left="429"/>
        <w:jc w:val="both"/>
        <w:rPr>
          <w:rFonts w:cs="Arial"/>
          <w:sz w:val="23"/>
          <w:szCs w:val="23"/>
          <w:rtl/>
        </w:rPr>
      </w:pPr>
    </w:p>
    <w:p w14:paraId="6BB50E73" w14:textId="77777777" w:rsidR="00C6287C" w:rsidRDefault="00C6287C" w:rsidP="00C6287C">
      <w:pPr>
        <w:pStyle w:val="Default"/>
        <w:numPr>
          <w:ilvl w:val="0"/>
          <w:numId w:val="25"/>
        </w:numPr>
        <w:bidi/>
        <w:spacing w:after="120"/>
        <w:ind w:left="429"/>
        <w:jc w:val="both"/>
        <w:rPr>
          <w:rFonts w:cs="Arial"/>
          <w:sz w:val="23"/>
          <w:szCs w:val="23"/>
        </w:rPr>
      </w:pPr>
      <w:r>
        <w:rPr>
          <w:rFonts w:cs="Arial" w:hint="cs"/>
          <w:sz w:val="23"/>
          <w:szCs w:val="23"/>
          <w:rtl/>
        </w:rPr>
        <w:t>كسب التأييد عن طريق التقاضي (اختياري)</w:t>
      </w:r>
    </w:p>
    <w:p w14:paraId="1BF8361C" w14:textId="77777777" w:rsidR="00C6287C" w:rsidRDefault="00C6287C" w:rsidP="00C6287C">
      <w:pPr>
        <w:pStyle w:val="Default"/>
        <w:bidi/>
        <w:spacing w:after="120"/>
        <w:ind w:left="429"/>
        <w:jc w:val="both"/>
        <w:rPr>
          <w:rFonts w:cs="Arial"/>
          <w:sz w:val="23"/>
          <w:szCs w:val="23"/>
        </w:rPr>
      </w:pPr>
      <w:r>
        <w:rPr>
          <w:rFonts w:cs="Arial" w:hint="cs"/>
          <w:sz w:val="23"/>
          <w:szCs w:val="23"/>
          <w:rtl/>
        </w:rPr>
        <w:t>يُقيّم هذا المحور قيام المؤسسة باستخدام التقاضي كاستراتيجية لكسب التأييد ومدى فاعلية ذلك.</w:t>
      </w:r>
    </w:p>
    <w:tbl>
      <w:tblPr>
        <w:bidiVisual/>
        <w:tblW w:w="80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1"/>
      </w:tblGrid>
      <w:tr w:rsidR="00B26980" w:rsidRPr="00E92C73" w14:paraId="4700B9AB" w14:textId="77777777" w:rsidTr="00B26980">
        <w:trPr>
          <w:trHeight w:val="530"/>
        </w:trPr>
        <w:tc>
          <w:tcPr>
            <w:tcW w:w="8031" w:type="dxa"/>
            <w:shd w:val="clear" w:color="auto" w:fill="D9D9D9" w:themeFill="background1" w:themeFillShade="D9"/>
            <w:vAlign w:val="center"/>
            <w:hideMark/>
          </w:tcPr>
          <w:p w14:paraId="352E29A7" w14:textId="77777777" w:rsidR="00B26980" w:rsidRPr="00E92C73" w:rsidRDefault="00B26980" w:rsidP="002603B0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 xml:space="preserve">6.1 تستعين المؤسسة بالتقاضي كاستراتيجية لكسب التأييد  </w:t>
            </w:r>
            <w:r w:rsidRPr="00E92C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B26980" w:rsidRPr="00E92C73" w14:paraId="7DC93F37" w14:textId="77777777" w:rsidTr="00B26980">
        <w:trPr>
          <w:trHeight w:val="530"/>
        </w:trPr>
        <w:tc>
          <w:tcPr>
            <w:tcW w:w="8031" w:type="dxa"/>
            <w:shd w:val="clear" w:color="auto" w:fill="D9D9D9" w:themeFill="background1" w:themeFillShade="D9"/>
            <w:vAlign w:val="center"/>
            <w:hideMark/>
          </w:tcPr>
          <w:p w14:paraId="01DFB256" w14:textId="77777777" w:rsidR="00B26980" w:rsidRPr="00E92C73" w:rsidRDefault="00B26980" w:rsidP="002603B0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>6.2 المؤسسة يمكنها الوصول إلى موارد بشرية لدعم جهود التقاضي</w:t>
            </w:r>
            <w:r w:rsidRPr="00E92C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B26980" w:rsidRPr="00E92C73" w14:paraId="7168069B" w14:textId="77777777" w:rsidTr="00B26980">
        <w:trPr>
          <w:trHeight w:val="431"/>
        </w:trPr>
        <w:tc>
          <w:tcPr>
            <w:tcW w:w="8031" w:type="dxa"/>
            <w:shd w:val="clear" w:color="auto" w:fill="D9D9D9" w:themeFill="background1" w:themeFillShade="D9"/>
            <w:vAlign w:val="center"/>
            <w:hideMark/>
          </w:tcPr>
          <w:p w14:paraId="2C8B271B" w14:textId="77777777" w:rsidR="00B26980" w:rsidRPr="00E92C73" w:rsidRDefault="00B26980" w:rsidP="002603B0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>6.3 تتابع المؤسسة الدعاوى القضائية والحالات ذات الصلة بالقضايا التي تهمها</w:t>
            </w:r>
            <w:r w:rsidRPr="00E92C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</w:tbl>
    <w:p w14:paraId="386F470A" w14:textId="77777777" w:rsidR="00191651" w:rsidRPr="00B26980" w:rsidRDefault="00191651" w:rsidP="00191651">
      <w:pPr>
        <w:pStyle w:val="Default"/>
        <w:bidi/>
        <w:spacing w:after="120"/>
        <w:ind w:left="429"/>
        <w:jc w:val="both"/>
        <w:rPr>
          <w:rFonts w:cs="Arial"/>
          <w:sz w:val="23"/>
          <w:szCs w:val="23"/>
          <w:rtl/>
        </w:rPr>
      </w:pPr>
    </w:p>
    <w:p w14:paraId="1C408C0B" w14:textId="77777777" w:rsidR="00C6287C" w:rsidRDefault="00C6287C" w:rsidP="00C6287C">
      <w:pPr>
        <w:pStyle w:val="Default"/>
        <w:numPr>
          <w:ilvl w:val="0"/>
          <w:numId w:val="25"/>
        </w:numPr>
        <w:bidi/>
        <w:spacing w:after="120"/>
        <w:ind w:left="429"/>
        <w:jc w:val="both"/>
        <w:rPr>
          <w:rFonts w:cs="Arial"/>
          <w:sz w:val="23"/>
          <w:szCs w:val="23"/>
        </w:rPr>
      </w:pPr>
      <w:r>
        <w:rPr>
          <w:rFonts w:cs="Arial" w:hint="cs"/>
          <w:sz w:val="23"/>
          <w:szCs w:val="23"/>
          <w:rtl/>
        </w:rPr>
        <w:t>الالتزام المؤسسي والاستدامة</w:t>
      </w:r>
    </w:p>
    <w:p w14:paraId="73493A7D" w14:textId="77777777" w:rsidR="00C6287C" w:rsidRDefault="00C6287C" w:rsidP="00C6287C">
      <w:pPr>
        <w:pStyle w:val="Default"/>
        <w:bidi/>
        <w:spacing w:after="120"/>
        <w:ind w:left="429"/>
        <w:jc w:val="both"/>
        <w:rPr>
          <w:rFonts w:cs="Arial"/>
          <w:sz w:val="23"/>
          <w:szCs w:val="23"/>
        </w:rPr>
      </w:pPr>
      <w:r>
        <w:rPr>
          <w:rFonts w:cs="Arial" w:hint="cs"/>
          <w:sz w:val="23"/>
          <w:szCs w:val="23"/>
          <w:rtl/>
        </w:rPr>
        <w:t>يقيس هذا المحور دعم هيكل الحوكمة بالمؤسسة لجهود كسب التأييد، إلى جانب كفاية جهود كلٍ من الموارد البشرية، والمالية، وإدارة المخاطر.</w:t>
      </w:r>
    </w:p>
    <w:tbl>
      <w:tblPr>
        <w:bidiVisual/>
        <w:tblW w:w="8102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B26980" w:rsidRPr="0004517A" w14:paraId="0ECB1855" w14:textId="77777777" w:rsidTr="00B26980">
        <w:trPr>
          <w:trHeight w:val="530"/>
        </w:trPr>
        <w:tc>
          <w:tcPr>
            <w:tcW w:w="8102" w:type="dxa"/>
            <w:shd w:val="clear" w:color="auto" w:fill="D9D9D9" w:themeFill="background1" w:themeFillShade="D9"/>
            <w:vAlign w:val="center"/>
            <w:hideMark/>
          </w:tcPr>
          <w:p w14:paraId="7285B704" w14:textId="77777777" w:rsidR="00B26980" w:rsidRPr="0004517A" w:rsidRDefault="00B26980" w:rsidP="002603B0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>7.1 يلتزم هيكل الحوكمة في المؤسسة بكسب التأييد وبالتواصل دورياً مع الموظفين حول حالة التقدم</w:t>
            </w:r>
            <w:r w:rsidRPr="0004517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B26980" w:rsidRPr="0004517A" w14:paraId="2E5A116D" w14:textId="77777777" w:rsidTr="00B26980">
        <w:trPr>
          <w:trHeight w:val="530"/>
        </w:trPr>
        <w:tc>
          <w:tcPr>
            <w:tcW w:w="8102" w:type="dxa"/>
            <w:shd w:val="clear" w:color="auto" w:fill="D9D9D9" w:themeFill="background1" w:themeFillShade="D9"/>
            <w:vAlign w:val="center"/>
            <w:hideMark/>
          </w:tcPr>
          <w:p w14:paraId="20711C5E" w14:textId="77777777" w:rsidR="00B26980" w:rsidRPr="0004517A" w:rsidRDefault="00B26980" w:rsidP="002603B0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 xml:space="preserve">7.2 المؤسسة لديها موظفين تشتمل أوصافهم الوظيفية على مسؤوليات محددة معنية بكسب التأييد، ويضم هيكل قيادة المؤسسة أفراداً ذوي خبرة بمجال كسب التأييد </w:t>
            </w:r>
            <w:r w:rsidRPr="0004517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B26980" w:rsidRPr="0004517A" w14:paraId="5738FCEF" w14:textId="77777777" w:rsidTr="00B26980">
        <w:trPr>
          <w:trHeight w:val="530"/>
        </w:trPr>
        <w:tc>
          <w:tcPr>
            <w:tcW w:w="8102" w:type="dxa"/>
            <w:shd w:val="clear" w:color="auto" w:fill="D9D9D9" w:themeFill="background1" w:themeFillShade="D9"/>
            <w:vAlign w:val="center"/>
            <w:hideMark/>
          </w:tcPr>
          <w:p w14:paraId="505B3CD1" w14:textId="77777777" w:rsidR="00B26980" w:rsidRPr="0004517A" w:rsidRDefault="00B26980" w:rsidP="002603B0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>7.3 تستثمر المؤسسة في الموظفين وفي مجلس الإدارة وفي تطوير المتطوعين لتعزيز أعمال كسب التأييد</w:t>
            </w:r>
            <w:r w:rsidRPr="0004517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B26980" w:rsidRPr="0004517A" w14:paraId="48B15438" w14:textId="77777777" w:rsidTr="00B26980">
        <w:trPr>
          <w:trHeight w:val="539"/>
        </w:trPr>
        <w:tc>
          <w:tcPr>
            <w:tcW w:w="8102" w:type="dxa"/>
            <w:shd w:val="clear" w:color="auto" w:fill="D9D9D9" w:themeFill="background1" w:themeFillShade="D9"/>
            <w:vAlign w:val="center"/>
            <w:hideMark/>
          </w:tcPr>
          <w:p w14:paraId="404C42F4" w14:textId="77777777" w:rsidR="00B26980" w:rsidRPr="0004517A" w:rsidRDefault="00B26980" w:rsidP="002603B0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>7.4 تحرص المؤسسة على تضمين تمويل جهود كسب التأييد كجزء من استراتيجية تطوير الأعمال / أي استراتيجية مكافئة، ولديها علاقات طويلة المدى مع الجهات المانحة التي تُركز على جهود كسب التأييد</w:t>
            </w:r>
            <w:r w:rsidRPr="0004517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B26980" w:rsidRPr="0004517A" w14:paraId="45607E2D" w14:textId="77777777" w:rsidTr="00B26980">
        <w:trPr>
          <w:trHeight w:val="341"/>
        </w:trPr>
        <w:tc>
          <w:tcPr>
            <w:tcW w:w="8102" w:type="dxa"/>
            <w:shd w:val="clear" w:color="auto" w:fill="D9D9D9" w:themeFill="background1" w:themeFillShade="D9"/>
            <w:vAlign w:val="center"/>
            <w:hideMark/>
          </w:tcPr>
          <w:p w14:paraId="55F8D06B" w14:textId="77777777" w:rsidR="00B26980" w:rsidRPr="0004517A" w:rsidRDefault="00B26980" w:rsidP="002603B0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>7.5 يُحدِد الموظفون المخاطر المحتملة على المؤسسة قبل الشروع في أعمال كسب التأييد</w:t>
            </w:r>
          </w:p>
        </w:tc>
      </w:tr>
    </w:tbl>
    <w:p w14:paraId="25D2BFDD" w14:textId="77777777" w:rsidR="00B26980" w:rsidRPr="00B26980" w:rsidRDefault="00B26980" w:rsidP="00B26980">
      <w:pPr>
        <w:pStyle w:val="Default"/>
        <w:bidi/>
        <w:spacing w:after="120"/>
        <w:ind w:left="429"/>
        <w:jc w:val="both"/>
        <w:rPr>
          <w:rFonts w:cs="Arial"/>
          <w:sz w:val="23"/>
          <w:szCs w:val="23"/>
          <w:rtl/>
        </w:rPr>
      </w:pPr>
    </w:p>
    <w:p w14:paraId="5B55CBF6" w14:textId="77777777" w:rsidR="00C6287C" w:rsidRDefault="00C6287C" w:rsidP="00C6287C">
      <w:pPr>
        <w:pStyle w:val="Default"/>
        <w:numPr>
          <w:ilvl w:val="0"/>
          <w:numId w:val="25"/>
        </w:numPr>
        <w:bidi/>
        <w:spacing w:after="120"/>
        <w:ind w:left="429"/>
        <w:jc w:val="both"/>
        <w:rPr>
          <w:rFonts w:cs="Arial"/>
          <w:sz w:val="23"/>
          <w:szCs w:val="23"/>
        </w:rPr>
      </w:pPr>
      <w:r>
        <w:rPr>
          <w:rFonts w:cs="Arial" w:hint="cs"/>
          <w:sz w:val="23"/>
          <w:szCs w:val="23"/>
          <w:rtl/>
        </w:rPr>
        <w:t>حشد المجتمع</w:t>
      </w:r>
    </w:p>
    <w:p w14:paraId="057E94A2" w14:textId="77777777" w:rsidR="00C6287C" w:rsidRDefault="00C6287C" w:rsidP="00C6287C">
      <w:pPr>
        <w:pStyle w:val="Default"/>
        <w:bidi/>
        <w:spacing w:after="120"/>
        <w:ind w:left="429"/>
        <w:jc w:val="both"/>
        <w:rPr>
          <w:rFonts w:cs="Arial"/>
          <w:sz w:val="23"/>
          <w:szCs w:val="23"/>
        </w:rPr>
      </w:pPr>
      <w:r>
        <w:rPr>
          <w:rFonts w:cs="Arial" w:hint="cs"/>
          <w:sz w:val="23"/>
          <w:szCs w:val="23"/>
          <w:rtl/>
        </w:rPr>
        <w:t>يُقيّم هذا المحور قدرة المؤسسة على إشراك المجتمعات المحلية بفاعلية في جهود كسب التأييد.</w:t>
      </w:r>
    </w:p>
    <w:tbl>
      <w:tblPr>
        <w:bidiVisual/>
        <w:tblW w:w="7844" w:type="dxa"/>
        <w:tblLook w:val="04A0" w:firstRow="1" w:lastRow="0" w:firstColumn="1" w:lastColumn="0" w:noHBand="0" w:noVBand="1"/>
      </w:tblPr>
      <w:tblGrid>
        <w:gridCol w:w="7844"/>
      </w:tblGrid>
      <w:tr w:rsidR="0051710F" w:rsidRPr="00150A9D" w14:paraId="47E95ADA" w14:textId="77777777" w:rsidTr="0051710F">
        <w:trPr>
          <w:trHeight w:val="719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32685D8" w14:textId="77777777" w:rsidR="0051710F" w:rsidRPr="00150A9D" w:rsidRDefault="0051710F" w:rsidP="002603B0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>8.1 تقوم المؤسسة بإشراك المجتمع المحلي في التخطيط وصُنع القرارات الاستراتيجية المعنية بجهود كسب التأييد</w:t>
            </w:r>
          </w:p>
        </w:tc>
      </w:tr>
      <w:tr w:rsidR="0051710F" w:rsidRPr="00150A9D" w14:paraId="20F93AB1" w14:textId="77777777" w:rsidTr="0051710F">
        <w:trPr>
          <w:trHeight w:val="53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E4F3D8D" w14:textId="77777777" w:rsidR="0051710F" w:rsidRPr="00150A9D" w:rsidRDefault="0051710F" w:rsidP="002603B0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>8.2 تحرص المؤسسة على إشراك المجتمعات المحلية بفاعلية، كذلك فإن المجتمعات المتأثرة مُمكَّنة على صعيد جهود كسب التأييد ذات الصلة بنطاق العمل</w:t>
            </w:r>
            <w:r w:rsidRPr="00150A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51710F" w:rsidRPr="00150A9D" w14:paraId="7812986A" w14:textId="77777777" w:rsidTr="0051710F">
        <w:trPr>
          <w:trHeight w:val="899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44D646E" w14:textId="77777777" w:rsidR="0051710F" w:rsidRPr="00150A9D" w:rsidRDefault="0051710F" w:rsidP="002603B0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lastRenderedPageBreak/>
              <w:t>8.3 تحرص المؤسسة على إشراك المجتمعات بفاعلية في عمليات المتابعة والتقييم والتعلم، وذلك فيما يتعلق بفاعلية استراتيجيات وأنشطة كسب التأييد</w:t>
            </w:r>
          </w:p>
        </w:tc>
      </w:tr>
    </w:tbl>
    <w:p w14:paraId="69C1F199" w14:textId="77777777" w:rsidR="0051710F" w:rsidRPr="0051710F" w:rsidRDefault="0051710F" w:rsidP="0051710F">
      <w:pPr>
        <w:pStyle w:val="Default"/>
        <w:bidi/>
        <w:spacing w:after="120"/>
        <w:ind w:left="429"/>
        <w:jc w:val="both"/>
        <w:rPr>
          <w:rFonts w:cs="Arial"/>
          <w:sz w:val="23"/>
          <w:szCs w:val="23"/>
          <w:rtl/>
        </w:rPr>
      </w:pPr>
    </w:p>
    <w:p w14:paraId="6418AC6B" w14:textId="77777777" w:rsidR="00C6287C" w:rsidRDefault="00C6287C" w:rsidP="00C6287C">
      <w:pPr>
        <w:pStyle w:val="Default"/>
        <w:numPr>
          <w:ilvl w:val="0"/>
          <w:numId w:val="25"/>
        </w:numPr>
        <w:bidi/>
        <w:spacing w:after="120"/>
        <w:ind w:left="429"/>
        <w:jc w:val="both"/>
        <w:rPr>
          <w:rFonts w:cs="Arial"/>
          <w:sz w:val="23"/>
          <w:szCs w:val="23"/>
        </w:rPr>
      </w:pPr>
      <w:r>
        <w:rPr>
          <w:rFonts w:cs="Arial" w:hint="cs"/>
          <w:sz w:val="23"/>
          <w:szCs w:val="23"/>
          <w:rtl/>
        </w:rPr>
        <w:t>المساواة والدمج الاجتماعي</w:t>
      </w:r>
    </w:p>
    <w:p w14:paraId="219B6D19" w14:textId="77777777" w:rsidR="00C6287C" w:rsidRDefault="00C6287C" w:rsidP="00C6287C">
      <w:pPr>
        <w:pStyle w:val="Default"/>
        <w:bidi/>
        <w:spacing w:after="120"/>
        <w:ind w:left="429"/>
        <w:jc w:val="both"/>
        <w:rPr>
          <w:rFonts w:cs="Arial"/>
          <w:sz w:val="23"/>
          <w:szCs w:val="23"/>
          <w:rtl/>
        </w:rPr>
      </w:pPr>
      <w:r>
        <w:rPr>
          <w:rFonts w:cs="Arial" w:hint="cs"/>
          <w:sz w:val="23"/>
          <w:szCs w:val="23"/>
          <w:rtl/>
        </w:rPr>
        <w:t xml:space="preserve">يقيس هذا المحور إدماج المساواة والدمج الاجتماعي في تخطيط وتنفيذ برامج كسب التأييد. </w:t>
      </w:r>
    </w:p>
    <w:tbl>
      <w:tblPr>
        <w:bidiVisual/>
        <w:tblW w:w="8019" w:type="dxa"/>
        <w:tblLook w:val="04A0" w:firstRow="1" w:lastRow="0" w:firstColumn="1" w:lastColumn="0" w:noHBand="0" w:noVBand="1"/>
      </w:tblPr>
      <w:tblGrid>
        <w:gridCol w:w="8019"/>
      </w:tblGrid>
      <w:tr w:rsidR="0051710F" w:rsidRPr="00807095" w14:paraId="1DBFB38D" w14:textId="77777777" w:rsidTr="0051710F">
        <w:trPr>
          <w:trHeight w:val="800"/>
        </w:trPr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69E30B7" w14:textId="77777777" w:rsidR="0051710F" w:rsidRPr="00807095" w:rsidRDefault="0051710F" w:rsidP="002603B0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9.1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 xml:space="preserve"> تعمل المؤسسة على تحديد احتياجات المجتمعات المُهمشة، وتُشرك النساء والشباب والأشخاص ذوي الإعاقة والمجتمعات الضعيفة في عمليات التخطيط وصُنع القرارات الاستراتيجية المعنية بجهود كسب التأييد</w:t>
            </w:r>
            <w:r w:rsidRPr="008070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 xml:space="preserve"> </w:t>
            </w:r>
          </w:p>
        </w:tc>
      </w:tr>
      <w:tr w:rsidR="0051710F" w:rsidRPr="00807095" w14:paraId="6BF5EF4D" w14:textId="77777777" w:rsidTr="0051710F">
        <w:trPr>
          <w:trHeight w:val="800"/>
        </w:trPr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E57DE3F" w14:textId="77777777" w:rsidR="0051710F" w:rsidRPr="00807095" w:rsidRDefault="0051710F" w:rsidP="002603B0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 xml:space="preserve">9.2 تحرص المؤسسة على إشراك النساء والشباب والأشخاص ذوي الإعاقة والمجتمعات الضعيفة، وتضمن تمكينهم من أجل مباشرة جهود كسب التأييد ذات الصلة بنطاق العمل </w:t>
            </w:r>
            <w:r w:rsidRPr="008070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51710F" w:rsidRPr="00807095" w14:paraId="3A340511" w14:textId="77777777" w:rsidTr="0051710F">
        <w:trPr>
          <w:trHeight w:val="809"/>
        </w:trPr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4EA43B3" w14:textId="77777777" w:rsidR="0051710F" w:rsidRPr="00807095" w:rsidRDefault="0051710F" w:rsidP="002603B0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>9.3 تُجري المؤسسة أبحاثاً ذات صلة وتتولى تحليل السياسات وغيرها من أنشطة عرض الأدلة من منظور النوع الاجتماعي</w:t>
            </w:r>
            <w:r>
              <w:rPr>
                <w:rFonts w:ascii="Calibri" w:eastAsia="Times New Roman" w:hAnsi="Calibri" w:cs="Calibri" w:hint="eastAsia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>،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 xml:space="preserve"> أو الشباب</w:t>
            </w:r>
            <w:r>
              <w:rPr>
                <w:rFonts w:ascii="Calibri" w:eastAsia="Times New Roman" w:hAnsi="Calibri" w:cs="Calibri" w:hint="eastAsia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>،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 xml:space="preserve"> أو الأشخاص ذوي الإعاقة، أو المجتمعات الضعيفة</w:t>
            </w:r>
            <w:r w:rsidRPr="008070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</w:tbl>
    <w:p w14:paraId="19218D86" w14:textId="62B524F5" w:rsidR="00EE6373" w:rsidRPr="0051710F" w:rsidRDefault="00EE6373" w:rsidP="007B195C">
      <w:pPr>
        <w:bidi/>
        <w:rPr>
          <w:rFonts w:ascii="Gill Sans MT" w:hAnsi="Gill Sans MT"/>
          <w:color w:val="000000"/>
          <w:kern w:val="0"/>
          <w:sz w:val="23"/>
          <w:szCs w:val="23"/>
        </w:rPr>
      </w:pPr>
    </w:p>
    <w:p w14:paraId="5F19CBE4" w14:textId="77777777" w:rsidR="00005AD8" w:rsidRPr="001D78F8" w:rsidRDefault="00005AD8" w:rsidP="007B195C">
      <w:pPr>
        <w:bidi/>
        <w:rPr>
          <w:rFonts w:ascii="Gill Sans MT" w:hAnsi="Gill Sans MT"/>
          <w:color w:val="000000"/>
          <w:kern w:val="0"/>
          <w:sz w:val="23"/>
          <w:szCs w:val="23"/>
          <w:lang w:bidi="ar-JO"/>
        </w:rPr>
      </w:pPr>
    </w:p>
    <w:p w14:paraId="7C0D8C8C" w14:textId="77777777" w:rsidR="00005AD8" w:rsidRDefault="00005AD8" w:rsidP="007B195C">
      <w:pPr>
        <w:pStyle w:val="ListParagraph"/>
        <w:bidi/>
        <w:rPr>
          <w:rFonts w:ascii="Gill Sans MT" w:hAnsi="Gill Sans MT"/>
          <w:color w:val="000000"/>
          <w:kern w:val="0"/>
          <w:sz w:val="23"/>
          <w:szCs w:val="23"/>
          <w:lang w:bidi="ar-JO"/>
        </w:rPr>
      </w:pPr>
    </w:p>
    <w:p w14:paraId="137A285F" w14:textId="77777777" w:rsidR="006023CB" w:rsidRDefault="006023CB" w:rsidP="007B195C">
      <w:pPr>
        <w:pStyle w:val="ListParagraph"/>
        <w:bidi/>
        <w:rPr>
          <w:rFonts w:ascii="Gill Sans MT" w:hAnsi="Gill Sans MT"/>
          <w:color w:val="000000"/>
          <w:kern w:val="0"/>
          <w:sz w:val="23"/>
          <w:szCs w:val="23"/>
          <w:lang w:bidi="ar-JO"/>
        </w:rPr>
      </w:pPr>
    </w:p>
    <w:p w14:paraId="011A5EA6" w14:textId="5C6511AC" w:rsidR="0080568D" w:rsidRDefault="0080568D" w:rsidP="00A3584A">
      <w:pPr>
        <w:bidi/>
        <w:rPr>
          <w:rFonts w:ascii="Gill Sans MT" w:hAnsi="Gill Sans MT"/>
          <w:color w:val="000000"/>
          <w:kern w:val="0"/>
          <w:sz w:val="23"/>
          <w:szCs w:val="23"/>
          <w:lang w:bidi="ar-JO"/>
        </w:rPr>
      </w:pPr>
    </w:p>
    <w:p w14:paraId="03A8B4BB" w14:textId="77777777" w:rsidR="0080568D" w:rsidRDefault="0080568D" w:rsidP="007B195C">
      <w:pPr>
        <w:bidi/>
        <w:rPr>
          <w:rFonts w:ascii="Gill Sans MT" w:hAnsi="Gill Sans MT"/>
          <w:color w:val="000000"/>
          <w:kern w:val="0"/>
          <w:sz w:val="23"/>
          <w:szCs w:val="23"/>
          <w:lang w:bidi="ar-JO"/>
        </w:rPr>
      </w:pPr>
    </w:p>
    <w:p w14:paraId="39BA7938" w14:textId="77777777" w:rsidR="0080568D" w:rsidRDefault="0080568D" w:rsidP="007B195C">
      <w:pPr>
        <w:bidi/>
        <w:rPr>
          <w:rFonts w:ascii="Gill Sans MT" w:hAnsi="Gill Sans MT"/>
          <w:color w:val="000000"/>
          <w:kern w:val="0"/>
          <w:sz w:val="23"/>
          <w:szCs w:val="23"/>
          <w:lang w:bidi="ar-JO"/>
        </w:rPr>
      </w:pPr>
    </w:p>
    <w:p w14:paraId="5C3980B7" w14:textId="77777777" w:rsidR="0080568D" w:rsidRDefault="0080568D" w:rsidP="007B195C">
      <w:pPr>
        <w:bidi/>
        <w:rPr>
          <w:rFonts w:ascii="Gill Sans MT" w:hAnsi="Gill Sans MT"/>
          <w:color w:val="000000"/>
          <w:kern w:val="0"/>
          <w:sz w:val="23"/>
          <w:szCs w:val="23"/>
          <w:lang w:bidi="ar-JO"/>
        </w:rPr>
      </w:pPr>
    </w:p>
    <w:p w14:paraId="500EC619" w14:textId="77777777" w:rsidR="0080568D" w:rsidRDefault="0080568D" w:rsidP="007B195C">
      <w:pPr>
        <w:bidi/>
        <w:rPr>
          <w:rFonts w:ascii="Gill Sans MT" w:hAnsi="Gill Sans MT"/>
          <w:color w:val="000000"/>
          <w:kern w:val="0"/>
          <w:sz w:val="23"/>
          <w:szCs w:val="23"/>
          <w:lang w:bidi="ar-JO"/>
        </w:rPr>
      </w:pPr>
    </w:p>
    <w:p w14:paraId="65AE5079" w14:textId="77777777" w:rsidR="0080568D" w:rsidRDefault="0080568D" w:rsidP="007B195C">
      <w:pPr>
        <w:bidi/>
        <w:rPr>
          <w:rFonts w:ascii="Gill Sans MT" w:hAnsi="Gill Sans MT"/>
          <w:color w:val="000000"/>
          <w:kern w:val="0"/>
          <w:sz w:val="23"/>
          <w:szCs w:val="23"/>
          <w:lang w:bidi="ar-JO"/>
        </w:rPr>
      </w:pPr>
    </w:p>
    <w:p w14:paraId="4705927C" w14:textId="77777777" w:rsidR="0080568D" w:rsidRDefault="0080568D" w:rsidP="007B195C">
      <w:pPr>
        <w:bidi/>
        <w:rPr>
          <w:rFonts w:ascii="Gill Sans MT" w:hAnsi="Gill Sans MT"/>
          <w:color w:val="000000"/>
          <w:kern w:val="0"/>
          <w:sz w:val="23"/>
          <w:szCs w:val="23"/>
          <w:lang w:bidi="ar-JO"/>
        </w:rPr>
      </w:pPr>
    </w:p>
    <w:p w14:paraId="70B25021" w14:textId="77777777" w:rsidR="0080568D" w:rsidRDefault="0080568D" w:rsidP="007B195C">
      <w:pPr>
        <w:bidi/>
        <w:rPr>
          <w:rFonts w:ascii="Gill Sans MT" w:hAnsi="Gill Sans MT"/>
          <w:color w:val="000000"/>
          <w:kern w:val="0"/>
          <w:sz w:val="23"/>
          <w:szCs w:val="23"/>
          <w:lang w:bidi="ar-JO"/>
        </w:rPr>
      </w:pPr>
    </w:p>
    <w:p w14:paraId="6BF79F26" w14:textId="77777777" w:rsidR="0080568D" w:rsidRDefault="0080568D" w:rsidP="007B195C">
      <w:pPr>
        <w:bidi/>
        <w:rPr>
          <w:rFonts w:ascii="Gill Sans MT" w:hAnsi="Gill Sans MT"/>
          <w:color w:val="000000"/>
          <w:kern w:val="0"/>
          <w:sz w:val="23"/>
          <w:szCs w:val="23"/>
          <w:lang w:bidi="ar-JO"/>
        </w:rPr>
      </w:pPr>
    </w:p>
    <w:sectPr w:rsidR="00805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3AC767" w14:textId="77777777" w:rsidR="008C284A" w:rsidRDefault="008C284A" w:rsidP="00686BEE">
      <w:pPr>
        <w:spacing w:after="0" w:line="240" w:lineRule="auto"/>
      </w:pPr>
      <w:r>
        <w:separator/>
      </w:r>
    </w:p>
  </w:endnote>
  <w:endnote w:type="continuationSeparator" w:id="0">
    <w:p w14:paraId="4F1C927A" w14:textId="77777777" w:rsidR="008C284A" w:rsidRDefault="008C284A" w:rsidP="0068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66012F" w14:textId="77777777" w:rsidR="008C284A" w:rsidRDefault="008C284A" w:rsidP="00686BEE">
      <w:pPr>
        <w:spacing w:after="0" w:line="240" w:lineRule="auto"/>
      </w:pPr>
      <w:r>
        <w:separator/>
      </w:r>
    </w:p>
  </w:footnote>
  <w:footnote w:type="continuationSeparator" w:id="0">
    <w:p w14:paraId="4A351E42" w14:textId="77777777" w:rsidR="008C284A" w:rsidRDefault="008C284A" w:rsidP="00686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66592"/>
    <w:multiLevelType w:val="hybridMultilevel"/>
    <w:tmpl w:val="51BE4E5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24E90"/>
    <w:multiLevelType w:val="hybridMultilevel"/>
    <w:tmpl w:val="7788FC76"/>
    <w:lvl w:ilvl="0" w:tplc="D916C4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0D078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8C4B9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0CE1C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0925B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BFEC1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7E6FF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AD4EE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AC8B3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0B1D0A8F"/>
    <w:multiLevelType w:val="hybridMultilevel"/>
    <w:tmpl w:val="DAB02F4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986DE4"/>
    <w:multiLevelType w:val="hybridMultilevel"/>
    <w:tmpl w:val="78AA938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263433"/>
    <w:multiLevelType w:val="hybridMultilevel"/>
    <w:tmpl w:val="869EEA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AB7395"/>
    <w:multiLevelType w:val="hybridMultilevel"/>
    <w:tmpl w:val="47D40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728CB"/>
    <w:multiLevelType w:val="hybridMultilevel"/>
    <w:tmpl w:val="458C9E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E2527E"/>
    <w:multiLevelType w:val="hybridMultilevel"/>
    <w:tmpl w:val="63D2CFF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920426"/>
    <w:multiLevelType w:val="multilevel"/>
    <w:tmpl w:val="8FB6C8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79C3E07"/>
    <w:multiLevelType w:val="hybridMultilevel"/>
    <w:tmpl w:val="658885D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C5308"/>
    <w:multiLevelType w:val="hybridMultilevel"/>
    <w:tmpl w:val="F4C26A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20E0B"/>
    <w:multiLevelType w:val="hybridMultilevel"/>
    <w:tmpl w:val="A4FA93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E6684B"/>
    <w:multiLevelType w:val="hybridMultilevel"/>
    <w:tmpl w:val="D75EC7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4A702C"/>
    <w:multiLevelType w:val="hybridMultilevel"/>
    <w:tmpl w:val="2D30F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726FC"/>
    <w:multiLevelType w:val="hybridMultilevel"/>
    <w:tmpl w:val="7D28F1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77862"/>
    <w:multiLevelType w:val="hybridMultilevel"/>
    <w:tmpl w:val="0DFAB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3628D8"/>
    <w:multiLevelType w:val="hybridMultilevel"/>
    <w:tmpl w:val="A8B835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60129"/>
    <w:multiLevelType w:val="hybridMultilevel"/>
    <w:tmpl w:val="6038AA2A"/>
    <w:lvl w:ilvl="0" w:tplc="A7921A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3E89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E322E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E3E5B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E872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7FC83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C4A47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31C8A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CC47D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8" w15:restartNumberingAfterBreak="0">
    <w:nsid w:val="55BA0158"/>
    <w:multiLevelType w:val="hybridMultilevel"/>
    <w:tmpl w:val="8274F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C39E4"/>
    <w:multiLevelType w:val="hybridMultilevel"/>
    <w:tmpl w:val="572C83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DB7317"/>
    <w:multiLevelType w:val="hybridMultilevel"/>
    <w:tmpl w:val="A0B85EA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A652DC"/>
    <w:multiLevelType w:val="hybridMultilevel"/>
    <w:tmpl w:val="658885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66CF8"/>
    <w:multiLevelType w:val="hybridMultilevel"/>
    <w:tmpl w:val="920690A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9D4334"/>
    <w:multiLevelType w:val="hybridMultilevel"/>
    <w:tmpl w:val="3DC65C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5752A"/>
    <w:multiLevelType w:val="hybridMultilevel"/>
    <w:tmpl w:val="5944F28C"/>
    <w:lvl w:ilvl="0" w:tplc="3DB22C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D540E"/>
    <w:multiLevelType w:val="hybridMultilevel"/>
    <w:tmpl w:val="3C60B0C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B03DB0"/>
    <w:multiLevelType w:val="hybridMultilevel"/>
    <w:tmpl w:val="7744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88219">
    <w:abstractNumId w:val="1"/>
  </w:num>
  <w:num w:numId="2" w16cid:durableId="1241209847">
    <w:abstractNumId w:val="17"/>
  </w:num>
  <w:num w:numId="3" w16cid:durableId="1409616986">
    <w:abstractNumId w:val="24"/>
  </w:num>
  <w:num w:numId="4" w16cid:durableId="69742624">
    <w:abstractNumId w:val="26"/>
  </w:num>
  <w:num w:numId="5" w16cid:durableId="1581018901">
    <w:abstractNumId w:val="13"/>
  </w:num>
  <w:num w:numId="6" w16cid:durableId="2099597254">
    <w:abstractNumId w:val="5"/>
  </w:num>
  <w:num w:numId="7" w16cid:durableId="44650082">
    <w:abstractNumId w:val="18"/>
  </w:num>
  <w:num w:numId="8" w16cid:durableId="44257125">
    <w:abstractNumId w:val="4"/>
  </w:num>
  <w:num w:numId="9" w16cid:durableId="1290238008">
    <w:abstractNumId w:val="19"/>
  </w:num>
  <w:num w:numId="10" w16cid:durableId="1055590823">
    <w:abstractNumId w:val="2"/>
  </w:num>
  <w:num w:numId="11" w16cid:durableId="1104958532">
    <w:abstractNumId w:val="12"/>
  </w:num>
  <w:num w:numId="12" w16cid:durableId="669673567">
    <w:abstractNumId w:val="22"/>
  </w:num>
  <w:num w:numId="13" w16cid:durableId="339815307">
    <w:abstractNumId w:val="3"/>
  </w:num>
  <w:num w:numId="14" w16cid:durableId="1612321547">
    <w:abstractNumId w:val="11"/>
  </w:num>
  <w:num w:numId="15" w16cid:durableId="1492521538">
    <w:abstractNumId w:val="25"/>
  </w:num>
  <w:num w:numId="16" w16cid:durableId="1900703985">
    <w:abstractNumId w:val="0"/>
  </w:num>
  <w:num w:numId="17" w16cid:durableId="408161248">
    <w:abstractNumId w:val="20"/>
  </w:num>
  <w:num w:numId="18" w16cid:durableId="2012947826">
    <w:abstractNumId w:val="7"/>
  </w:num>
  <w:num w:numId="19" w16cid:durableId="490105033">
    <w:abstractNumId w:val="15"/>
  </w:num>
  <w:num w:numId="20" w16cid:durableId="823358188">
    <w:abstractNumId w:val="6"/>
  </w:num>
  <w:num w:numId="21" w16cid:durableId="1439135482">
    <w:abstractNumId w:val="21"/>
  </w:num>
  <w:num w:numId="22" w16cid:durableId="1915191259">
    <w:abstractNumId w:val="14"/>
  </w:num>
  <w:num w:numId="23" w16cid:durableId="544299512">
    <w:abstractNumId w:val="16"/>
  </w:num>
  <w:num w:numId="24" w16cid:durableId="1509557921">
    <w:abstractNumId w:val="9"/>
  </w:num>
  <w:num w:numId="25" w16cid:durableId="1757094346">
    <w:abstractNumId w:val="10"/>
  </w:num>
  <w:num w:numId="26" w16cid:durableId="1941450134">
    <w:abstractNumId w:val="23"/>
  </w:num>
  <w:num w:numId="27" w16cid:durableId="2076272186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53"/>
    <w:rsid w:val="000008D8"/>
    <w:rsid w:val="00001805"/>
    <w:rsid w:val="0000252B"/>
    <w:rsid w:val="00003992"/>
    <w:rsid w:val="00003B63"/>
    <w:rsid w:val="00005780"/>
    <w:rsid w:val="00005AD8"/>
    <w:rsid w:val="00012753"/>
    <w:rsid w:val="0001428D"/>
    <w:rsid w:val="00014D45"/>
    <w:rsid w:val="000157A7"/>
    <w:rsid w:val="00017E09"/>
    <w:rsid w:val="000241A5"/>
    <w:rsid w:val="00024544"/>
    <w:rsid w:val="00025BEC"/>
    <w:rsid w:val="000266E4"/>
    <w:rsid w:val="000275AC"/>
    <w:rsid w:val="0003220D"/>
    <w:rsid w:val="00033F10"/>
    <w:rsid w:val="00041254"/>
    <w:rsid w:val="00043600"/>
    <w:rsid w:val="0004517A"/>
    <w:rsid w:val="0004596A"/>
    <w:rsid w:val="00046C35"/>
    <w:rsid w:val="00051B54"/>
    <w:rsid w:val="00051F9A"/>
    <w:rsid w:val="00053532"/>
    <w:rsid w:val="000546A2"/>
    <w:rsid w:val="00054F9B"/>
    <w:rsid w:val="00056136"/>
    <w:rsid w:val="00057319"/>
    <w:rsid w:val="00057E4D"/>
    <w:rsid w:val="000639C5"/>
    <w:rsid w:val="00064F65"/>
    <w:rsid w:val="00067FBF"/>
    <w:rsid w:val="00070B4B"/>
    <w:rsid w:val="00071595"/>
    <w:rsid w:val="00074455"/>
    <w:rsid w:val="000747D3"/>
    <w:rsid w:val="00076DE6"/>
    <w:rsid w:val="00080723"/>
    <w:rsid w:val="0008282A"/>
    <w:rsid w:val="000830F5"/>
    <w:rsid w:val="000869B3"/>
    <w:rsid w:val="0008737E"/>
    <w:rsid w:val="00087872"/>
    <w:rsid w:val="000947C9"/>
    <w:rsid w:val="00096121"/>
    <w:rsid w:val="00097797"/>
    <w:rsid w:val="000B0C4B"/>
    <w:rsid w:val="000B16F0"/>
    <w:rsid w:val="000B1B91"/>
    <w:rsid w:val="000B3F26"/>
    <w:rsid w:val="000B4CA4"/>
    <w:rsid w:val="000B58C6"/>
    <w:rsid w:val="000B730C"/>
    <w:rsid w:val="000B7E99"/>
    <w:rsid w:val="000C135C"/>
    <w:rsid w:val="000C4A5F"/>
    <w:rsid w:val="000C6539"/>
    <w:rsid w:val="000C6723"/>
    <w:rsid w:val="000C7323"/>
    <w:rsid w:val="000D1A4F"/>
    <w:rsid w:val="000D461D"/>
    <w:rsid w:val="000E0822"/>
    <w:rsid w:val="000E08A7"/>
    <w:rsid w:val="000E1821"/>
    <w:rsid w:val="000E23D5"/>
    <w:rsid w:val="000E4B61"/>
    <w:rsid w:val="000E4CB5"/>
    <w:rsid w:val="000E5A84"/>
    <w:rsid w:val="000E5C3B"/>
    <w:rsid w:val="000E628D"/>
    <w:rsid w:val="000F3954"/>
    <w:rsid w:val="000F3ECC"/>
    <w:rsid w:val="000F505B"/>
    <w:rsid w:val="000F66BB"/>
    <w:rsid w:val="000F6F51"/>
    <w:rsid w:val="0010015C"/>
    <w:rsid w:val="00105114"/>
    <w:rsid w:val="0011300D"/>
    <w:rsid w:val="00113199"/>
    <w:rsid w:val="0012212B"/>
    <w:rsid w:val="001242E4"/>
    <w:rsid w:val="00127F6E"/>
    <w:rsid w:val="00130B5A"/>
    <w:rsid w:val="0013413D"/>
    <w:rsid w:val="00134194"/>
    <w:rsid w:val="00136962"/>
    <w:rsid w:val="00136CF2"/>
    <w:rsid w:val="00137B7E"/>
    <w:rsid w:val="00137F9C"/>
    <w:rsid w:val="001437D9"/>
    <w:rsid w:val="00144BE1"/>
    <w:rsid w:val="0014575E"/>
    <w:rsid w:val="00150A9D"/>
    <w:rsid w:val="00150BF6"/>
    <w:rsid w:val="00153104"/>
    <w:rsid w:val="00153B92"/>
    <w:rsid w:val="001618F3"/>
    <w:rsid w:val="00161E77"/>
    <w:rsid w:val="0016320F"/>
    <w:rsid w:val="0016586F"/>
    <w:rsid w:val="0016687F"/>
    <w:rsid w:val="0017074D"/>
    <w:rsid w:val="00173387"/>
    <w:rsid w:val="00173974"/>
    <w:rsid w:val="00173EEB"/>
    <w:rsid w:val="001747B2"/>
    <w:rsid w:val="001748C0"/>
    <w:rsid w:val="001835F4"/>
    <w:rsid w:val="00184727"/>
    <w:rsid w:val="00186B71"/>
    <w:rsid w:val="00191651"/>
    <w:rsid w:val="001926F4"/>
    <w:rsid w:val="001965A6"/>
    <w:rsid w:val="001A51B1"/>
    <w:rsid w:val="001A61C9"/>
    <w:rsid w:val="001B0AE7"/>
    <w:rsid w:val="001B34B8"/>
    <w:rsid w:val="001C05FD"/>
    <w:rsid w:val="001C0632"/>
    <w:rsid w:val="001C17D5"/>
    <w:rsid w:val="001C45B0"/>
    <w:rsid w:val="001C53D5"/>
    <w:rsid w:val="001C6576"/>
    <w:rsid w:val="001C690B"/>
    <w:rsid w:val="001D19F1"/>
    <w:rsid w:val="001D78F8"/>
    <w:rsid w:val="001E0289"/>
    <w:rsid w:val="001E3E29"/>
    <w:rsid w:val="001E3F18"/>
    <w:rsid w:val="001E6FD4"/>
    <w:rsid w:val="001F0F73"/>
    <w:rsid w:val="001F147E"/>
    <w:rsid w:val="001F193E"/>
    <w:rsid w:val="001F1A72"/>
    <w:rsid w:val="001F40E1"/>
    <w:rsid w:val="001F4526"/>
    <w:rsid w:val="0020241B"/>
    <w:rsid w:val="00203883"/>
    <w:rsid w:val="00206978"/>
    <w:rsid w:val="00206DD3"/>
    <w:rsid w:val="00207049"/>
    <w:rsid w:val="00215665"/>
    <w:rsid w:val="00216DCF"/>
    <w:rsid w:val="00217483"/>
    <w:rsid w:val="00217EEC"/>
    <w:rsid w:val="0022076B"/>
    <w:rsid w:val="00220C75"/>
    <w:rsid w:val="00223E79"/>
    <w:rsid w:val="0022758A"/>
    <w:rsid w:val="0022779D"/>
    <w:rsid w:val="00227CB3"/>
    <w:rsid w:val="002307DC"/>
    <w:rsid w:val="00230BA8"/>
    <w:rsid w:val="002337DB"/>
    <w:rsid w:val="00233B38"/>
    <w:rsid w:val="00247879"/>
    <w:rsid w:val="002545AD"/>
    <w:rsid w:val="002549E2"/>
    <w:rsid w:val="00254BE5"/>
    <w:rsid w:val="002573CF"/>
    <w:rsid w:val="00257B42"/>
    <w:rsid w:val="0026120A"/>
    <w:rsid w:val="002648CE"/>
    <w:rsid w:val="002651B1"/>
    <w:rsid w:val="0026577E"/>
    <w:rsid w:val="00265D33"/>
    <w:rsid w:val="00273D68"/>
    <w:rsid w:val="00275EE3"/>
    <w:rsid w:val="00275F5C"/>
    <w:rsid w:val="00280C69"/>
    <w:rsid w:val="00281C27"/>
    <w:rsid w:val="00284E94"/>
    <w:rsid w:val="00284F4D"/>
    <w:rsid w:val="002856AA"/>
    <w:rsid w:val="00286D4F"/>
    <w:rsid w:val="00287A2E"/>
    <w:rsid w:val="00290DF0"/>
    <w:rsid w:val="0029105B"/>
    <w:rsid w:val="0029137F"/>
    <w:rsid w:val="00291A79"/>
    <w:rsid w:val="00291E45"/>
    <w:rsid w:val="0029625E"/>
    <w:rsid w:val="002969BC"/>
    <w:rsid w:val="002A1093"/>
    <w:rsid w:val="002A2902"/>
    <w:rsid w:val="002A7F54"/>
    <w:rsid w:val="002B0BE8"/>
    <w:rsid w:val="002B2D87"/>
    <w:rsid w:val="002B4A3E"/>
    <w:rsid w:val="002B4D63"/>
    <w:rsid w:val="002B4E08"/>
    <w:rsid w:val="002C06D4"/>
    <w:rsid w:val="002D0D30"/>
    <w:rsid w:val="002D1CDC"/>
    <w:rsid w:val="002D1D41"/>
    <w:rsid w:val="002D2212"/>
    <w:rsid w:val="002D7F3F"/>
    <w:rsid w:val="002E0D88"/>
    <w:rsid w:val="002E1323"/>
    <w:rsid w:val="002E3F9A"/>
    <w:rsid w:val="002E426B"/>
    <w:rsid w:val="002E61F9"/>
    <w:rsid w:val="002E641E"/>
    <w:rsid w:val="002F04B9"/>
    <w:rsid w:val="002F311F"/>
    <w:rsid w:val="002F4FEB"/>
    <w:rsid w:val="002F656E"/>
    <w:rsid w:val="002F6DFF"/>
    <w:rsid w:val="003000F7"/>
    <w:rsid w:val="0030037B"/>
    <w:rsid w:val="0030050E"/>
    <w:rsid w:val="00302F17"/>
    <w:rsid w:val="003045C5"/>
    <w:rsid w:val="00304E70"/>
    <w:rsid w:val="003103AE"/>
    <w:rsid w:val="00312BC8"/>
    <w:rsid w:val="00314AA7"/>
    <w:rsid w:val="00314C04"/>
    <w:rsid w:val="0031604E"/>
    <w:rsid w:val="0032255E"/>
    <w:rsid w:val="003276A9"/>
    <w:rsid w:val="00331326"/>
    <w:rsid w:val="003338D9"/>
    <w:rsid w:val="003344A7"/>
    <w:rsid w:val="00334BC3"/>
    <w:rsid w:val="003356A7"/>
    <w:rsid w:val="003356BE"/>
    <w:rsid w:val="00336B7C"/>
    <w:rsid w:val="00337A54"/>
    <w:rsid w:val="00340C20"/>
    <w:rsid w:val="00340D8D"/>
    <w:rsid w:val="0035129E"/>
    <w:rsid w:val="003519D0"/>
    <w:rsid w:val="00354C65"/>
    <w:rsid w:val="00355099"/>
    <w:rsid w:val="0035680C"/>
    <w:rsid w:val="0036036C"/>
    <w:rsid w:val="003603E4"/>
    <w:rsid w:val="00360D88"/>
    <w:rsid w:val="00362A72"/>
    <w:rsid w:val="00362F49"/>
    <w:rsid w:val="003665B7"/>
    <w:rsid w:val="0036743A"/>
    <w:rsid w:val="00370AE2"/>
    <w:rsid w:val="00371944"/>
    <w:rsid w:val="003755DD"/>
    <w:rsid w:val="003772BA"/>
    <w:rsid w:val="0038187A"/>
    <w:rsid w:val="003839D0"/>
    <w:rsid w:val="003847DF"/>
    <w:rsid w:val="0039029B"/>
    <w:rsid w:val="0039112F"/>
    <w:rsid w:val="003912FE"/>
    <w:rsid w:val="003926D6"/>
    <w:rsid w:val="00396544"/>
    <w:rsid w:val="00396B73"/>
    <w:rsid w:val="00397784"/>
    <w:rsid w:val="003A0C64"/>
    <w:rsid w:val="003A10E5"/>
    <w:rsid w:val="003A3A38"/>
    <w:rsid w:val="003A4240"/>
    <w:rsid w:val="003A4745"/>
    <w:rsid w:val="003A4BC2"/>
    <w:rsid w:val="003A510A"/>
    <w:rsid w:val="003A77FE"/>
    <w:rsid w:val="003B0915"/>
    <w:rsid w:val="003B112B"/>
    <w:rsid w:val="003B1886"/>
    <w:rsid w:val="003B5A13"/>
    <w:rsid w:val="003B61B2"/>
    <w:rsid w:val="003B6CF9"/>
    <w:rsid w:val="003C3215"/>
    <w:rsid w:val="003C437C"/>
    <w:rsid w:val="003C45B3"/>
    <w:rsid w:val="003C741A"/>
    <w:rsid w:val="003D246A"/>
    <w:rsid w:val="003D2F92"/>
    <w:rsid w:val="003D535C"/>
    <w:rsid w:val="003D57E2"/>
    <w:rsid w:val="003D6232"/>
    <w:rsid w:val="003D67B6"/>
    <w:rsid w:val="003D7B1B"/>
    <w:rsid w:val="003D7C28"/>
    <w:rsid w:val="003E06A2"/>
    <w:rsid w:val="003E3512"/>
    <w:rsid w:val="003E563B"/>
    <w:rsid w:val="003E711B"/>
    <w:rsid w:val="003E7722"/>
    <w:rsid w:val="003F1FB9"/>
    <w:rsid w:val="003F4E99"/>
    <w:rsid w:val="003F4F69"/>
    <w:rsid w:val="004024F4"/>
    <w:rsid w:val="004027AA"/>
    <w:rsid w:val="00405986"/>
    <w:rsid w:val="00407788"/>
    <w:rsid w:val="00412014"/>
    <w:rsid w:val="00412CFE"/>
    <w:rsid w:val="004131D2"/>
    <w:rsid w:val="004134D2"/>
    <w:rsid w:val="004176A8"/>
    <w:rsid w:val="00421277"/>
    <w:rsid w:val="004225FE"/>
    <w:rsid w:val="00424F3B"/>
    <w:rsid w:val="00426045"/>
    <w:rsid w:val="00426939"/>
    <w:rsid w:val="00426CAF"/>
    <w:rsid w:val="00427B0F"/>
    <w:rsid w:val="004303E9"/>
    <w:rsid w:val="00430BC9"/>
    <w:rsid w:val="00432D03"/>
    <w:rsid w:val="00440C3B"/>
    <w:rsid w:val="004413AC"/>
    <w:rsid w:val="004435AC"/>
    <w:rsid w:val="00445126"/>
    <w:rsid w:val="004459A8"/>
    <w:rsid w:val="00446727"/>
    <w:rsid w:val="00450425"/>
    <w:rsid w:val="00450605"/>
    <w:rsid w:val="00450981"/>
    <w:rsid w:val="004526D3"/>
    <w:rsid w:val="00453705"/>
    <w:rsid w:val="00455A10"/>
    <w:rsid w:val="004561B1"/>
    <w:rsid w:val="00456F78"/>
    <w:rsid w:val="0046044F"/>
    <w:rsid w:val="00462C82"/>
    <w:rsid w:val="004649F5"/>
    <w:rsid w:val="00465CCD"/>
    <w:rsid w:val="0046770D"/>
    <w:rsid w:val="00470134"/>
    <w:rsid w:val="0047029B"/>
    <w:rsid w:val="004713EA"/>
    <w:rsid w:val="004733F8"/>
    <w:rsid w:val="00473885"/>
    <w:rsid w:val="00480F50"/>
    <w:rsid w:val="004815C8"/>
    <w:rsid w:val="0048453C"/>
    <w:rsid w:val="00484C6C"/>
    <w:rsid w:val="004865B3"/>
    <w:rsid w:val="0048661D"/>
    <w:rsid w:val="004876B3"/>
    <w:rsid w:val="00490A25"/>
    <w:rsid w:val="0049227D"/>
    <w:rsid w:val="00494D73"/>
    <w:rsid w:val="00496568"/>
    <w:rsid w:val="004A188B"/>
    <w:rsid w:val="004A36AA"/>
    <w:rsid w:val="004A39BC"/>
    <w:rsid w:val="004A40E6"/>
    <w:rsid w:val="004A4B0E"/>
    <w:rsid w:val="004A5669"/>
    <w:rsid w:val="004B0400"/>
    <w:rsid w:val="004B07FC"/>
    <w:rsid w:val="004B0DE1"/>
    <w:rsid w:val="004B1912"/>
    <w:rsid w:val="004B379F"/>
    <w:rsid w:val="004B4A1D"/>
    <w:rsid w:val="004B57B2"/>
    <w:rsid w:val="004C050D"/>
    <w:rsid w:val="004C15C3"/>
    <w:rsid w:val="004C3C23"/>
    <w:rsid w:val="004C649C"/>
    <w:rsid w:val="004C7F9C"/>
    <w:rsid w:val="004D2811"/>
    <w:rsid w:val="004D2BA4"/>
    <w:rsid w:val="004D3D99"/>
    <w:rsid w:val="004D6071"/>
    <w:rsid w:val="004E0225"/>
    <w:rsid w:val="004E1809"/>
    <w:rsid w:val="004E2575"/>
    <w:rsid w:val="004E4D19"/>
    <w:rsid w:val="004E7703"/>
    <w:rsid w:val="004F6DC5"/>
    <w:rsid w:val="004F70E0"/>
    <w:rsid w:val="00502AFB"/>
    <w:rsid w:val="00503C14"/>
    <w:rsid w:val="00504D89"/>
    <w:rsid w:val="00505CAC"/>
    <w:rsid w:val="00511E15"/>
    <w:rsid w:val="00514269"/>
    <w:rsid w:val="00514849"/>
    <w:rsid w:val="0051540D"/>
    <w:rsid w:val="0051710F"/>
    <w:rsid w:val="005171A2"/>
    <w:rsid w:val="00520074"/>
    <w:rsid w:val="005216A1"/>
    <w:rsid w:val="005224EE"/>
    <w:rsid w:val="0052335E"/>
    <w:rsid w:val="005241C8"/>
    <w:rsid w:val="005258BA"/>
    <w:rsid w:val="00530BAC"/>
    <w:rsid w:val="0053116A"/>
    <w:rsid w:val="005325E7"/>
    <w:rsid w:val="00533FFC"/>
    <w:rsid w:val="00534BFB"/>
    <w:rsid w:val="005353A4"/>
    <w:rsid w:val="00536979"/>
    <w:rsid w:val="005401CA"/>
    <w:rsid w:val="00540234"/>
    <w:rsid w:val="005408D2"/>
    <w:rsid w:val="00541A17"/>
    <w:rsid w:val="00543A07"/>
    <w:rsid w:val="00550BCB"/>
    <w:rsid w:val="00551909"/>
    <w:rsid w:val="00551938"/>
    <w:rsid w:val="005525D6"/>
    <w:rsid w:val="00553985"/>
    <w:rsid w:val="005545AE"/>
    <w:rsid w:val="00555F3F"/>
    <w:rsid w:val="005561E8"/>
    <w:rsid w:val="00560F69"/>
    <w:rsid w:val="00563BB4"/>
    <w:rsid w:val="005644AA"/>
    <w:rsid w:val="005646EB"/>
    <w:rsid w:val="0056500D"/>
    <w:rsid w:val="005720B2"/>
    <w:rsid w:val="0057215C"/>
    <w:rsid w:val="005739BF"/>
    <w:rsid w:val="00575AB2"/>
    <w:rsid w:val="0057692C"/>
    <w:rsid w:val="00576B95"/>
    <w:rsid w:val="0058340B"/>
    <w:rsid w:val="00584060"/>
    <w:rsid w:val="005841ED"/>
    <w:rsid w:val="00586BE7"/>
    <w:rsid w:val="005870B5"/>
    <w:rsid w:val="00587489"/>
    <w:rsid w:val="00587D5F"/>
    <w:rsid w:val="005917EC"/>
    <w:rsid w:val="00591A46"/>
    <w:rsid w:val="00592AF6"/>
    <w:rsid w:val="005936AB"/>
    <w:rsid w:val="00593958"/>
    <w:rsid w:val="00593F71"/>
    <w:rsid w:val="005952DD"/>
    <w:rsid w:val="00595D8B"/>
    <w:rsid w:val="005964A5"/>
    <w:rsid w:val="005A0D75"/>
    <w:rsid w:val="005A12E9"/>
    <w:rsid w:val="005A1FCB"/>
    <w:rsid w:val="005A29B5"/>
    <w:rsid w:val="005A32C6"/>
    <w:rsid w:val="005A3EE9"/>
    <w:rsid w:val="005A6FD5"/>
    <w:rsid w:val="005B186D"/>
    <w:rsid w:val="005B1998"/>
    <w:rsid w:val="005B58BC"/>
    <w:rsid w:val="005B74C2"/>
    <w:rsid w:val="005C266D"/>
    <w:rsid w:val="005C3F29"/>
    <w:rsid w:val="005C42D9"/>
    <w:rsid w:val="005C494A"/>
    <w:rsid w:val="005C56ED"/>
    <w:rsid w:val="005D0557"/>
    <w:rsid w:val="005D3687"/>
    <w:rsid w:val="005D6F5C"/>
    <w:rsid w:val="005D7D65"/>
    <w:rsid w:val="005E261E"/>
    <w:rsid w:val="005E29A8"/>
    <w:rsid w:val="005E3612"/>
    <w:rsid w:val="005E3C1F"/>
    <w:rsid w:val="005E41AF"/>
    <w:rsid w:val="005E6923"/>
    <w:rsid w:val="005E7384"/>
    <w:rsid w:val="005F02E4"/>
    <w:rsid w:val="005F4CB9"/>
    <w:rsid w:val="005F691E"/>
    <w:rsid w:val="006023CB"/>
    <w:rsid w:val="00603C24"/>
    <w:rsid w:val="00605A71"/>
    <w:rsid w:val="00605F29"/>
    <w:rsid w:val="00606BA2"/>
    <w:rsid w:val="00606C27"/>
    <w:rsid w:val="00614A4B"/>
    <w:rsid w:val="00615E45"/>
    <w:rsid w:val="0061750F"/>
    <w:rsid w:val="006213A9"/>
    <w:rsid w:val="00622B43"/>
    <w:rsid w:val="006232EE"/>
    <w:rsid w:val="00623F00"/>
    <w:rsid w:val="00624F98"/>
    <w:rsid w:val="00630DD9"/>
    <w:rsid w:val="00632BD2"/>
    <w:rsid w:val="0063301E"/>
    <w:rsid w:val="006340C8"/>
    <w:rsid w:val="006356C2"/>
    <w:rsid w:val="006379FE"/>
    <w:rsid w:val="00640F57"/>
    <w:rsid w:val="00641453"/>
    <w:rsid w:val="00641726"/>
    <w:rsid w:val="00643D68"/>
    <w:rsid w:val="006450A8"/>
    <w:rsid w:val="006466E7"/>
    <w:rsid w:val="0065017C"/>
    <w:rsid w:val="00651873"/>
    <w:rsid w:val="00662174"/>
    <w:rsid w:val="00663413"/>
    <w:rsid w:val="00664597"/>
    <w:rsid w:val="006659E4"/>
    <w:rsid w:val="006668CD"/>
    <w:rsid w:val="006675B8"/>
    <w:rsid w:val="006718B3"/>
    <w:rsid w:val="00671B9A"/>
    <w:rsid w:val="00673578"/>
    <w:rsid w:val="00673B2F"/>
    <w:rsid w:val="00673C02"/>
    <w:rsid w:val="006741F8"/>
    <w:rsid w:val="00674ED1"/>
    <w:rsid w:val="00676583"/>
    <w:rsid w:val="00677704"/>
    <w:rsid w:val="00680267"/>
    <w:rsid w:val="0068046A"/>
    <w:rsid w:val="006804D8"/>
    <w:rsid w:val="0068259A"/>
    <w:rsid w:val="006829D7"/>
    <w:rsid w:val="00683C60"/>
    <w:rsid w:val="00683F31"/>
    <w:rsid w:val="006840D9"/>
    <w:rsid w:val="006845E7"/>
    <w:rsid w:val="006849D8"/>
    <w:rsid w:val="00684B1B"/>
    <w:rsid w:val="00685E12"/>
    <w:rsid w:val="00685F79"/>
    <w:rsid w:val="00686A20"/>
    <w:rsid w:val="00686BEE"/>
    <w:rsid w:val="00687C81"/>
    <w:rsid w:val="0069292E"/>
    <w:rsid w:val="00696A77"/>
    <w:rsid w:val="006A13D3"/>
    <w:rsid w:val="006A2C56"/>
    <w:rsid w:val="006A5166"/>
    <w:rsid w:val="006A5A42"/>
    <w:rsid w:val="006A6741"/>
    <w:rsid w:val="006B1684"/>
    <w:rsid w:val="006B19BB"/>
    <w:rsid w:val="006C3B6E"/>
    <w:rsid w:val="006C3E9D"/>
    <w:rsid w:val="006C5326"/>
    <w:rsid w:val="006C6C7B"/>
    <w:rsid w:val="006C7AF8"/>
    <w:rsid w:val="006D0DA6"/>
    <w:rsid w:val="006D18FD"/>
    <w:rsid w:val="006D2E00"/>
    <w:rsid w:val="006D3042"/>
    <w:rsid w:val="006D620E"/>
    <w:rsid w:val="006D65D8"/>
    <w:rsid w:val="006D6C1A"/>
    <w:rsid w:val="006D7756"/>
    <w:rsid w:val="006D7A62"/>
    <w:rsid w:val="006E0002"/>
    <w:rsid w:val="006E12D7"/>
    <w:rsid w:val="006E1D5A"/>
    <w:rsid w:val="006E20A0"/>
    <w:rsid w:val="006E4847"/>
    <w:rsid w:val="006E6F3C"/>
    <w:rsid w:val="006E74D7"/>
    <w:rsid w:val="006F0AD3"/>
    <w:rsid w:val="006F0B0D"/>
    <w:rsid w:val="006F2857"/>
    <w:rsid w:val="006F2FFC"/>
    <w:rsid w:val="007017B8"/>
    <w:rsid w:val="007018E5"/>
    <w:rsid w:val="00705054"/>
    <w:rsid w:val="00711385"/>
    <w:rsid w:val="007258A4"/>
    <w:rsid w:val="00732B9E"/>
    <w:rsid w:val="00733D69"/>
    <w:rsid w:val="00734F06"/>
    <w:rsid w:val="00735B20"/>
    <w:rsid w:val="00736751"/>
    <w:rsid w:val="00741859"/>
    <w:rsid w:val="007465AB"/>
    <w:rsid w:val="00750C21"/>
    <w:rsid w:val="00750C90"/>
    <w:rsid w:val="00753FF1"/>
    <w:rsid w:val="00756DEB"/>
    <w:rsid w:val="007615A1"/>
    <w:rsid w:val="00765E93"/>
    <w:rsid w:val="00766565"/>
    <w:rsid w:val="00771947"/>
    <w:rsid w:val="00772588"/>
    <w:rsid w:val="0077278D"/>
    <w:rsid w:val="00772D4A"/>
    <w:rsid w:val="0078259F"/>
    <w:rsid w:val="007837A9"/>
    <w:rsid w:val="00784F19"/>
    <w:rsid w:val="00785046"/>
    <w:rsid w:val="007869CF"/>
    <w:rsid w:val="00787519"/>
    <w:rsid w:val="00787D66"/>
    <w:rsid w:val="00790734"/>
    <w:rsid w:val="00790879"/>
    <w:rsid w:val="00791F5D"/>
    <w:rsid w:val="007924E2"/>
    <w:rsid w:val="007956C9"/>
    <w:rsid w:val="007A38F5"/>
    <w:rsid w:val="007A7F07"/>
    <w:rsid w:val="007B0863"/>
    <w:rsid w:val="007B0C77"/>
    <w:rsid w:val="007B195C"/>
    <w:rsid w:val="007B234D"/>
    <w:rsid w:val="007B251B"/>
    <w:rsid w:val="007B3826"/>
    <w:rsid w:val="007B677A"/>
    <w:rsid w:val="007B756C"/>
    <w:rsid w:val="007B7A27"/>
    <w:rsid w:val="007C21FA"/>
    <w:rsid w:val="007C3BA1"/>
    <w:rsid w:val="007C7218"/>
    <w:rsid w:val="007C7510"/>
    <w:rsid w:val="007C7B1A"/>
    <w:rsid w:val="007C7E22"/>
    <w:rsid w:val="007D361F"/>
    <w:rsid w:val="007D51DB"/>
    <w:rsid w:val="007D5CD8"/>
    <w:rsid w:val="007D66C0"/>
    <w:rsid w:val="007E7706"/>
    <w:rsid w:val="007E7CC5"/>
    <w:rsid w:val="007F13B9"/>
    <w:rsid w:val="007F13D0"/>
    <w:rsid w:val="007F14A4"/>
    <w:rsid w:val="007F68ED"/>
    <w:rsid w:val="00800A72"/>
    <w:rsid w:val="00800CF4"/>
    <w:rsid w:val="0080136A"/>
    <w:rsid w:val="00803C88"/>
    <w:rsid w:val="008052CE"/>
    <w:rsid w:val="0080568D"/>
    <w:rsid w:val="00806086"/>
    <w:rsid w:val="00807095"/>
    <w:rsid w:val="00807EE9"/>
    <w:rsid w:val="00810667"/>
    <w:rsid w:val="00811AED"/>
    <w:rsid w:val="00812F28"/>
    <w:rsid w:val="0081379B"/>
    <w:rsid w:val="00813DA9"/>
    <w:rsid w:val="008156FE"/>
    <w:rsid w:val="0082013D"/>
    <w:rsid w:val="00827353"/>
    <w:rsid w:val="00833335"/>
    <w:rsid w:val="008341C9"/>
    <w:rsid w:val="00835D49"/>
    <w:rsid w:val="008361C4"/>
    <w:rsid w:val="00841D3D"/>
    <w:rsid w:val="00841E32"/>
    <w:rsid w:val="008423E5"/>
    <w:rsid w:val="0084306A"/>
    <w:rsid w:val="0084793F"/>
    <w:rsid w:val="0085020E"/>
    <w:rsid w:val="00850B70"/>
    <w:rsid w:val="008542C5"/>
    <w:rsid w:val="00854658"/>
    <w:rsid w:val="008550C8"/>
    <w:rsid w:val="008557A3"/>
    <w:rsid w:val="00857D1A"/>
    <w:rsid w:val="008605D7"/>
    <w:rsid w:val="00865A3C"/>
    <w:rsid w:val="008660FB"/>
    <w:rsid w:val="00866CEE"/>
    <w:rsid w:val="00872888"/>
    <w:rsid w:val="00873C26"/>
    <w:rsid w:val="008747F3"/>
    <w:rsid w:val="00875282"/>
    <w:rsid w:val="0087572B"/>
    <w:rsid w:val="0088125E"/>
    <w:rsid w:val="00881E63"/>
    <w:rsid w:val="008821A6"/>
    <w:rsid w:val="00884CD0"/>
    <w:rsid w:val="00886FF7"/>
    <w:rsid w:val="008919BE"/>
    <w:rsid w:val="00891A56"/>
    <w:rsid w:val="008939B1"/>
    <w:rsid w:val="00893F68"/>
    <w:rsid w:val="00895676"/>
    <w:rsid w:val="00897A6A"/>
    <w:rsid w:val="008A4354"/>
    <w:rsid w:val="008A5815"/>
    <w:rsid w:val="008A6266"/>
    <w:rsid w:val="008B0B52"/>
    <w:rsid w:val="008B3D53"/>
    <w:rsid w:val="008B6A3F"/>
    <w:rsid w:val="008C1B9A"/>
    <w:rsid w:val="008C284A"/>
    <w:rsid w:val="008C3FC1"/>
    <w:rsid w:val="008C666F"/>
    <w:rsid w:val="008C7C78"/>
    <w:rsid w:val="008D00D5"/>
    <w:rsid w:val="008D057E"/>
    <w:rsid w:val="008D6D63"/>
    <w:rsid w:val="008D7485"/>
    <w:rsid w:val="008E2151"/>
    <w:rsid w:val="008E59B1"/>
    <w:rsid w:val="008E7B9C"/>
    <w:rsid w:val="008F007B"/>
    <w:rsid w:val="008F23C1"/>
    <w:rsid w:val="008F6023"/>
    <w:rsid w:val="009033DC"/>
    <w:rsid w:val="00903443"/>
    <w:rsid w:val="0090462E"/>
    <w:rsid w:val="0090619B"/>
    <w:rsid w:val="0090697D"/>
    <w:rsid w:val="0090747F"/>
    <w:rsid w:val="009112D7"/>
    <w:rsid w:val="00912544"/>
    <w:rsid w:val="0091296F"/>
    <w:rsid w:val="00913CBB"/>
    <w:rsid w:val="0091426B"/>
    <w:rsid w:val="0091429A"/>
    <w:rsid w:val="009148A9"/>
    <w:rsid w:val="009163C5"/>
    <w:rsid w:val="00916569"/>
    <w:rsid w:val="00922441"/>
    <w:rsid w:val="00927EED"/>
    <w:rsid w:val="00936925"/>
    <w:rsid w:val="00936BCB"/>
    <w:rsid w:val="00944181"/>
    <w:rsid w:val="009442ED"/>
    <w:rsid w:val="00944BC8"/>
    <w:rsid w:val="00946616"/>
    <w:rsid w:val="00952941"/>
    <w:rsid w:val="009534E1"/>
    <w:rsid w:val="00954D00"/>
    <w:rsid w:val="00960EAE"/>
    <w:rsid w:val="00970CEF"/>
    <w:rsid w:val="00970DCF"/>
    <w:rsid w:val="00972357"/>
    <w:rsid w:val="00976AE3"/>
    <w:rsid w:val="00983BD6"/>
    <w:rsid w:val="00985841"/>
    <w:rsid w:val="00985B5B"/>
    <w:rsid w:val="0098616D"/>
    <w:rsid w:val="00990747"/>
    <w:rsid w:val="00990755"/>
    <w:rsid w:val="00992538"/>
    <w:rsid w:val="009929D6"/>
    <w:rsid w:val="0099311B"/>
    <w:rsid w:val="00993754"/>
    <w:rsid w:val="00995086"/>
    <w:rsid w:val="00997274"/>
    <w:rsid w:val="009A259C"/>
    <w:rsid w:val="009A2603"/>
    <w:rsid w:val="009A3030"/>
    <w:rsid w:val="009A32C2"/>
    <w:rsid w:val="009A3A04"/>
    <w:rsid w:val="009A3EB9"/>
    <w:rsid w:val="009A40CE"/>
    <w:rsid w:val="009A4334"/>
    <w:rsid w:val="009A5167"/>
    <w:rsid w:val="009B014B"/>
    <w:rsid w:val="009B2BF7"/>
    <w:rsid w:val="009B3437"/>
    <w:rsid w:val="009B4278"/>
    <w:rsid w:val="009B4798"/>
    <w:rsid w:val="009B4E00"/>
    <w:rsid w:val="009C081E"/>
    <w:rsid w:val="009C1ABA"/>
    <w:rsid w:val="009C2262"/>
    <w:rsid w:val="009C32B8"/>
    <w:rsid w:val="009C46BF"/>
    <w:rsid w:val="009C510E"/>
    <w:rsid w:val="009C5BC7"/>
    <w:rsid w:val="009C6BCA"/>
    <w:rsid w:val="009D3342"/>
    <w:rsid w:val="009D3A2A"/>
    <w:rsid w:val="009D3EDC"/>
    <w:rsid w:val="009D4651"/>
    <w:rsid w:val="009D53D9"/>
    <w:rsid w:val="009D5762"/>
    <w:rsid w:val="009D5E03"/>
    <w:rsid w:val="009D71BD"/>
    <w:rsid w:val="009E03AA"/>
    <w:rsid w:val="009E3BC0"/>
    <w:rsid w:val="009E5968"/>
    <w:rsid w:val="009E6204"/>
    <w:rsid w:val="009E7904"/>
    <w:rsid w:val="009E7DD5"/>
    <w:rsid w:val="009F056E"/>
    <w:rsid w:val="009F0948"/>
    <w:rsid w:val="009F2236"/>
    <w:rsid w:val="009F37A0"/>
    <w:rsid w:val="009F384C"/>
    <w:rsid w:val="009F444E"/>
    <w:rsid w:val="009F49A2"/>
    <w:rsid w:val="009F52AF"/>
    <w:rsid w:val="00A00E98"/>
    <w:rsid w:val="00A0183A"/>
    <w:rsid w:val="00A02F99"/>
    <w:rsid w:val="00A055EC"/>
    <w:rsid w:val="00A05815"/>
    <w:rsid w:val="00A06374"/>
    <w:rsid w:val="00A107F3"/>
    <w:rsid w:val="00A15813"/>
    <w:rsid w:val="00A16F2C"/>
    <w:rsid w:val="00A17FE0"/>
    <w:rsid w:val="00A201A5"/>
    <w:rsid w:val="00A205B7"/>
    <w:rsid w:val="00A20AD0"/>
    <w:rsid w:val="00A20FA5"/>
    <w:rsid w:val="00A230D3"/>
    <w:rsid w:val="00A34CF3"/>
    <w:rsid w:val="00A3584A"/>
    <w:rsid w:val="00A366ED"/>
    <w:rsid w:val="00A368E2"/>
    <w:rsid w:val="00A402FA"/>
    <w:rsid w:val="00A47A57"/>
    <w:rsid w:val="00A506B2"/>
    <w:rsid w:val="00A509CD"/>
    <w:rsid w:val="00A51FB2"/>
    <w:rsid w:val="00A56239"/>
    <w:rsid w:val="00A56BB7"/>
    <w:rsid w:val="00A57515"/>
    <w:rsid w:val="00A62D60"/>
    <w:rsid w:val="00A65605"/>
    <w:rsid w:val="00A67FB5"/>
    <w:rsid w:val="00A7126E"/>
    <w:rsid w:val="00A7248F"/>
    <w:rsid w:val="00A73941"/>
    <w:rsid w:val="00A76DD9"/>
    <w:rsid w:val="00A816C8"/>
    <w:rsid w:val="00A867DF"/>
    <w:rsid w:val="00A90B7C"/>
    <w:rsid w:val="00A92653"/>
    <w:rsid w:val="00A9291E"/>
    <w:rsid w:val="00A93461"/>
    <w:rsid w:val="00A93F16"/>
    <w:rsid w:val="00A94905"/>
    <w:rsid w:val="00A9558A"/>
    <w:rsid w:val="00A95FE0"/>
    <w:rsid w:val="00A9745C"/>
    <w:rsid w:val="00A9779D"/>
    <w:rsid w:val="00AA1E70"/>
    <w:rsid w:val="00AA3C5B"/>
    <w:rsid w:val="00AA78C5"/>
    <w:rsid w:val="00AB1476"/>
    <w:rsid w:val="00AB260A"/>
    <w:rsid w:val="00AB627C"/>
    <w:rsid w:val="00AB6752"/>
    <w:rsid w:val="00AC1391"/>
    <w:rsid w:val="00AC50ED"/>
    <w:rsid w:val="00AC53F1"/>
    <w:rsid w:val="00AC71FC"/>
    <w:rsid w:val="00AD0772"/>
    <w:rsid w:val="00AD4D22"/>
    <w:rsid w:val="00AD6303"/>
    <w:rsid w:val="00AE0B3B"/>
    <w:rsid w:val="00AE6CD9"/>
    <w:rsid w:val="00AE790C"/>
    <w:rsid w:val="00AF2710"/>
    <w:rsid w:val="00AF5CBE"/>
    <w:rsid w:val="00AF63C5"/>
    <w:rsid w:val="00AF7703"/>
    <w:rsid w:val="00B031E6"/>
    <w:rsid w:val="00B0349F"/>
    <w:rsid w:val="00B05C0F"/>
    <w:rsid w:val="00B05E5E"/>
    <w:rsid w:val="00B06697"/>
    <w:rsid w:val="00B16AFA"/>
    <w:rsid w:val="00B227C9"/>
    <w:rsid w:val="00B26980"/>
    <w:rsid w:val="00B30705"/>
    <w:rsid w:val="00B311F2"/>
    <w:rsid w:val="00B31418"/>
    <w:rsid w:val="00B334F3"/>
    <w:rsid w:val="00B35836"/>
    <w:rsid w:val="00B37D3F"/>
    <w:rsid w:val="00B4203A"/>
    <w:rsid w:val="00B44657"/>
    <w:rsid w:val="00B45488"/>
    <w:rsid w:val="00B470D8"/>
    <w:rsid w:val="00B51FB3"/>
    <w:rsid w:val="00B54020"/>
    <w:rsid w:val="00B563A0"/>
    <w:rsid w:val="00B57014"/>
    <w:rsid w:val="00B5771A"/>
    <w:rsid w:val="00B5772F"/>
    <w:rsid w:val="00B63B42"/>
    <w:rsid w:val="00B64503"/>
    <w:rsid w:val="00B64836"/>
    <w:rsid w:val="00B64906"/>
    <w:rsid w:val="00B65259"/>
    <w:rsid w:val="00B6538B"/>
    <w:rsid w:val="00B71895"/>
    <w:rsid w:val="00B71A08"/>
    <w:rsid w:val="00B71D7D"/>
    <w:rsid w:val="00B72691"/>
    <w:rsid w:val="00B7303D"/>
    <w:rsid w:val="00B74DAA"/>
    <w:rsid w:val="00B75CAC"/>
    <w:rsid w:val="00B76A33"/>
    <w:rsid w:val="00B770C3"/>
    <w:rsid w:val="00B821E2"/>
    <w:rsid w:val="00B848C9"/>
    <w:rsid w:val="00B868C5"/>
    <w:rsid w:val="00B8798B"/>
    <w:rsid w:val="00B902DF"/>
    <w:rsid w:val="00B90DBA"/>
    <w:rsid w:val="00BA180E"/>
    <w:rsid w:val="00BA5EA7"/>
    <w:rsid w:val="00BB0278"/>
    <w:rsid w:val="00BC7E0F"/>
    <w:rsid w:val="00BD0FC6"/>
    <w:rsid w:val="00BD1A11"/>
    <w:rsid w:val="00BD1B80"/>
    <w:rsid w:val="00BD1D5C"/>
    <w:rsid w:val="00BD43DA"/>
    <w:rsid w:val="00BD611E"/>
    <w:rsid w:val="00BE6335"/>
    <w:rsid w:val="00BE63B0"/>
    <w:rsid w:val="00BE6E4A"/>
    <w:rsid w:val="00BF3561"/>
    <w:rsid w:val="00BF5A89"/>
    <w:rsid w:val="00BF6358"/>
    <w:rsid w:val="00C00D95"/>
    <w:rsid w:val="00C01CF7"/>
    <w:rsid w:val="00C03601"/>
    <w:rsid w:val="00C063B8"/>
    <w:rsid w:val="00C06656"/>
    <w:rsid w:val="00C06686"/>
    <w:rsid w:val="00C11142"/>
    <w:rsid w:val="00C11ECD"/>
    <w:rsid w:val="00C121FA"/>
    <w:rsid w:val="00C138C6"/>
    <w:rsid w:val="00C14271"/>
    <w:rsid w:val="00C14A3A"/>
    <w:rsid w:val="00C1587A"/>
    <w:rsid w:val="00C15A75"/>
    <w:rsid w:val="00C15AE4"/>
    <w:rsid w:val="00C16360"/>
    <w:rsid w:val="00C2130B"/>
    <w:rsid w:val="00C31B7D"/>
    <w:rsid w:val="00C33776"/>
    <w:rsid w:val="00C34C18"/>
    <w:rsid w:val="00C3530B"/>
    <w:rsid w:val="00C37E7F"/>
    <w:rsid w:val="00C42BE7"/>
    <w:rsid w:val="00C47A27"/>
    <w:rsid w:val="00C5025C"/>
    <w:rsid w:val="00C51332"/>
    <w:rsid w:val="00C52368"/>
    <w:rsid w:val="00C56466"/>
    <w:rsid w:val="00C56736"/>
    <w:rsid w:val="00C56880"/>
    <w:rsid w:val="00C57CD3"/>
    <w:rsid w:val="00C61C38"/>
    <w:rsid w:val="00C6287C"/>
    <w:rsid w:val="00C633F5"/>
    <w:rsid w:val="00C64453"/>
    <w:rsid w:val="00C656FA"/>
    <w:rsid w:val="00C660DD"/>
    <w:rsid w:val="00C6769D"/>
    <w:rsid w:val="00C70BCE"/>
    <w:rsid w:val="00C7469F"/>
    <w:rsid w:val="00C751DE"/>
    <w:rsid w:val="00C767F4"/>
    <w:rsid w:val="00C768BB"/>
    <w:rsid w:val="00C76B5E"/>
    <w:rsid w:val="00C76BBF"/>
    <w:rsid w:val="00C77A2B"/>
    <w:rsid w:val="00C82225"/>
    <w:rsid w:val="00C83ACA"/>
    <w:rsid w:val="00C84BF1"/>
    <w:rsid w:val="00C86394"/>
    <w:rsid w:val="00C90405"/>
    <w:rsid w:val="00C91679"/>
    <w:rsid w:val="00C954BC"/>
    <w:rsid w:val="00CA0D0C"/>
    <w:rsid w:val="00CA1202"/>
    <w:rsid w:val="00CA1AB8"/>
    <w:rsid w:val="00CA5FA3"/>
    <w:rsid w:val="00CA6333"/>
    <w:rsid w:val="00CA711A"/>
    <w:rsid w:val="00CB49E1"/>
    <w:rsid w:val="00CB63C1"/>
    <w:rsid w:val="00CB7DCB"/>
    <w:rsid w:val="00CC091F"/>
    <w:rsid w:val="00CC09BC"/>
    <w:rsid w:val="00CC17DE"/>
    <w:rsid w:val="00CC29A6"/>
    <w:rsid w:val="00CC40C4"/>
    <w:rsid w:val="00CC5720"/>
    <w:rsid w:val="00CC5794"/>
    <w:rsid w:val="00CC6069"/>
    <w:rsid w:val="00CC6644"/>
    <w:rsid w:val="00CC6DA2"/>
    <w:rsid w:val="00CC6FA4"/>
    <w:rsid w:val="00CC73C1"/>
    <w:rsid w:val="00CD1CF9"/>
    <w:rsid w:val="00CD3AE3"/>
    <w:rsid w:val="00CD7736"/>
    <w:rsid w:val="00CE0E9A"/>
    <w:rsid w:val="00CE34DD"/>
    <w:rsid w:val="00CE52A3"/>
    <w:rsid w:val="00CE695A"/>
    <w:rsid w:val="00CF0393"/>
    <w:rsid w:val="00CF1AE4"/>
    <w:rsid w:val="00D059D4"/>
    <w:rsid w:val="00D07CA9"/>
    <w:rsid w:val="00D123E5"/>
    <w:rsid w:val="00D13765"/>
    <w:rsid w:val="00D176F0"/>
    <w:rsid w:val="00D231BE"/>
    <w:rsid w:val="00D251E9"/>
    <w:rsid w:val="00D25F77"/>
    <w:rsid w:val="00D323C1"/>
    <w:rsid w:val="00D418D3"/>
    <w:rsid w:val="00D429F0"/>
    <w:rsid w:val="00D4494E"/>
    <w:rsid w:val="00D50959"/>
    <w:rsid w:val="00D50E22"/>
    <w:rsid w:val="00D5255E"/>
    <w:rsid w:val="00D53CCB"/>
    <w:rsid w:val="00D53FDA"/>
    <w:rsid w:val="00D544D6"/>
    <w:rsid w:val="00D5474D"/>
    <w:rsid w:val="00D567CF"/>
    <w:rsid w:val="00D61545"/>
    <w:rsid w:val="00D6520A"/>
    <w:rsid w:val="00D67631"/>
    <w:rsid w:val="00D70806"/>
    <w:rsid w:val="00D70ACC"/>
    <w:rsid w:val="00D72019"/>
    <w:rsid w:val="00D73591"/>
    <w:rsid w:val="00D737AC"/>
    <w:rsid w:val="00D74767"/>
    <w:rsid w:val="00D77782"/>
    <w:rsid w:val="00D81FDE"/>
    <w:rsid w:val="00D85122"/>
    <w:rsid w:val="00D857AD"/>
    <w:rsid w:val="00D85F15"/>
    <w:rsid w:val="00D8646A"/>
    <w:rsid w:val="00D90699"/>
    <w:rsid w:val="00D92E81"/>
    <w:rsid w:val="00D931F9"/>
    <w:rsid w:val="00D93E10"/>
    <w:rsid w:val="00D97137"/>
    <w:rsid w:val="00DA0397"/>
    <w:rsid w:val="00DA1DB6"/>
    <w:rsid w:val="00DA2B46"/>
    <w:rsid w:val="00DA36E3"/>
    <w:rsid w:val="00DA4994"/>
    <w:rsid w:val="00DA672C"/>
    <w:rsid w:val="00DA79C6"/>
    <w:rsid w:val="00DB0FB4"/>
    <w:rsid w:val="00DB2FA3"/>
    <w:rsid w:val="00DB4AE6"/>
    <w:rsid w:val="00DB4BC6"/>
    <w:rsid w:val="00DB773B"/>
    <w:rsid w:val="00DC3E21"/>
    <w:rsid w:val="00DC4CC3"/>
    <w:rsid w:val="00DC5C8B"/>
    <w:rsid w:val="00DC7571"/>
    <w:rsid w:val="00DC7E2E"/>
    <w:rsid w:val="00DD1F2E"/>
    <w:rsid w:val="00DD270E"/>
    <w:rsid w:val="00DD3C0D"/>
    <w:rsid w:val="00DD51C9"/>
    <w:rsid w:val="00DD5774"/>
    <w:rsid w:val="00DD6F3C"/>
    <w:rsid w:val="00DD7568"/>
    <w:rsid w:val="00DD7A38"/>
    <w:rsid w:val="00DD7BEE"/>
    <w:rsid w:val="00DE1128"/>
    <w:rsid w:val="00DE3CEB"/>
    <w:rsid w:val="00DE42F3"/>
    <w:rsid w:val="00DF004F"/>
    <w:rsid w:val="00DF2045"/>
    <w:rsid w:val="00DF29E4"/>
    <w:rsid w:val="00DF32D6"/>
    <w:rsid w:val="00DF53EC"/>
    <w:rsid w:val="00DF64CF"/>
    <w:rsid w:val="00E01808"/>
    <w:rsid w:val="00E03CCE"/>
    <w:rsid w:val="00E06D1C"/>
    <w:rsid w:val="00E07827"/>
    <w:rsid w:val="00E1038F"/>
    <w:rsid w:val="00E10EA7"/>
    <w:rsid w:val="00E1428F"/>
    <w:rsid w:val="00E14709"/>
    <w:rsid w:val="00E1787B"/>
    <w:rsid w:val="00E20C2A"/>
    <w:rsid w:val="00E21B36"/>
    <w:rsid w:val="00E23A16"/>
    <w:rsid w:val="00E23EB6"/>
    <w:rsid w:val="00E25972"/>
    <w:rsid w:val="00E25B83"/>
    <w:rsid w:val="00E26660"/>
    <w:rsid w:val="00E346D0"/>
    <w:rsid w:val="00E36564"/>
    <w:rsid w:val="00E3727A"/>
    <w:rsid w:val="00E45814"/>
    <w:rsid w:val="00E47D25"/>
    <w:rsid w:val="00E52CBA"/>
    <w:rsid w:val="00E557A4"/>
    <w:rsid w:val="00E55B4E"/>
    <w:rsid w:val="00E61926"/>
    <w:rsid w:val="00E620AB"/>
    <w:rsid w:val="00E627D9"/>
    <w:rsid w:val="00E65726"/>
    <w:rsid w:val="00E66222"/>
    <w:rsid w:val="00E66445"/>
    <w:rsid w:val="00E71F85"/>
    <w:rsid w:val="00E73CB5"/>
    <w:rsid w:val="00E74108"/>
    <w:rsid w:val="00E74BA0"/>
    <w:rsid w:val="00E7535D"/>
    <w:rsid w:val="00E801B9"/>
    <w:rsid w:val="00E801F6"/>
    <w:rsid w:val="00E82894"/>
    <w:rsid w:val="00E82AB2"/>
    <w:rsid w:val="00E84361"/>
    <w:rsid w:val="00E8535F"/>
    <w:rsid w:val="00E8547D"/>
    <w:rsid w:val="00E86643"/>
    <w:rsid w:val="00E87AD7"/>
    <w:rsid w:val="00E918FC"/>
    <w:rsid w:val="00E91DA3"/>
    <w:rsid w:val="00E929C0"/>
    <w:rsid w:val="00E92B95"/>
    <w:rsid w:val="00E92C73"/>
    <w:rsid w:val="00E9307F"/>
    <w:rsid w:val="00E93285"/>
    <w:rsid w:val="00E95242"/>
    <w:rsid w:val="00EA0161"/>
    <w:rsid w:val="00EA0CA7"/>
    <w:rsid w:val="00EA62AE"/>
    <w:rsid w:val="00EA6C81"/>
    <w:rsid w:val="00EB1336"/>
    <w:rsid w:val="00EB31A5"/>
    <w:rsid w:val="00EB5153"/>
    <w:rsid w:val="00EB79E5"/>
    <w:rsid w:val="00EC3AE6"/>
    <w:rsid w:val="00EC55DB"/>
    <w:rsid w:val="00EC6C87"/>
    <w:rsid w:val="00EC7D0F"/>
    <w:rsid w:val="00EC7D58"/>
    <w:rsid w:val="00ED0778"/>
    <w:rsid w:val="00ED0BCA"/>
    <w:rsid w:val="00ED1806"/>
    <w:rsid w:val="00ED2B05"/>
    <w:rsid w:val="00ED382E"/>
    <w:rsid w:val="00ED406A"/>
    <w:rsid w:val="00ED5043"/>
    <w:rsid w:val="00ED6EEE"/>
    <w:rsid w:val="00EE2C6E"/>
    <w:rsid w:val="00EE3D42"/>
    <w:rsid w:val="00EE6373"/>
    <w:rsid w:val="00EF08EE"/>
    <w:rsid w:val="00EF13EC"/>
    <w:rsid w:val="00EF585C"/>
    <w:rsid w:val="00EF7B3C"/>
    <w:rsid w:val="00F03963"/>
    <w:rsid w:val="00F05CEF"/>
    <w:rsid w:val="00F064DF"/>
    <w:rsid w:val="00F07558"/>
    <w:rsid w:val="00F07624"/>
    <w:rsid w:val="00F077F1"/>
    <w:rsid w:val="00F1491A"/>
    <w:rsid w:val="00F15AE6"/>
    <w:rsid w:val="00F20D54"/>
    <w:rsid w:val="00F240AB"/>
    <w:rsid w:val="00F2669F"/>
    <w:rsid w:val="00F27945"/>
    <w:rsid w:val="00F314A6"/>
    <w:rsid w:val="00F36394"/>
    <w:rsid w:val="00F424C8"/>
    <w:rsid w:val="00F44573"/>
    <w:rsid w:val="00F46FC8"/>
    <w:rsid w:val="00F4730E"/>
    <w:rsid w:val="00F506AF"/>
    <w:rsid w:val="00F5130E"/>
    <w:rsid w:val="00F531CB"/>
    <w:rsid w:val="00F56978"/>
    <w:rsid w:val="00F6113A"/>
    <w:rsid w:val="00F62034"/>
    <w:rsid w:val="00F629E0"/>
    <w:rsid w:val="00F63F63"/>
    <w:rsid w:val="00F6658F"/>
    <w:rsid w:val="00F66720"/>
    <w:rsid w:val="00F67A43"/>
    <w:rsid w:val="00F70352"/>
    <w:rsid w:val="00F7635C"/>
    <w:rsid w:val="00F8083E"/>
    <w:rsid w:val="00F82A24"/>
    <w:rsid w:val="00F83777"/>
    <w:rsid w:val="00F855ED"/>
    <w:rsid w:val="00F85760"/>
    <w:rsid w:val="00F85867"/>
    <w:rsid w:val="00F87A65"/>
    <w:rsid w:val="00F90060"/>
    <w:rsid w:val="00F90A07"/>
    <w:rsid w:val="00F90DEF"/>
    <w:rsid w:val="00F91327"/>
    <w:rsid w:val="00F93BAA"/>
    <w:rsid w:val="00F94AE2"/>
    <w:rsid w:val="00FA0ECC"/>
    <w:rsid w:val="00FA1A2C"/>
    <w:rsid w:val="00FA2FCD"/>
    <w:rsid w:val="00FA3583"/>
    <w:rsid w:val="00FA5B05"/>
    <w:rsid w:val="00FA651B"/>
    <w:rsid w:val="00FA7451"/>
    <w:rsid w:val="00FA7DA4"/>
    <w:rsid w:val="00FB0332"/>
    <w:rsid w:val="00FB0CDC"/>
    <w:rsid w:val="00FB384C"/>
    <w:rsid w:val="00FB5B3D"/>
    <w:rsid w:val="00FB6B93"/>
    <w:rsid w:val="00FC459E"/>
    <w:rsid w:val="00FC54EC"/>
    <w:rsid w:val="00FD0CE6"/>
    <w:rsid w:val="00FD7400"/>
    <w:rsid w:val="00FE024F"/>
    <w:rsid w:val="00FE64BA"/>
    <w:rsid w:val="00FE685C"/>
    <w:rsid w:val="00FE6F7C"/>
    <w:rsid w:val="00FF1191"/>
    <w:rsid w:val="00FF1531"/>
    <w:rsid w:val="00FF67BB"/>
    <w:rsid w:val="00FF70AF"/>
    <w:rsid w:val="06DBEE24"/>
    <w:rsid w:val="07B53147"/>
    <w:rsid w:val="08BB20E2"/>
    <w:rsid w:val="09334AFF"/>
    <w:rsid w:val="13D06653"/>
    <w:rsid w:val="14F1967C"/>
    <w:rsid w:val="1B1F6A69"/>
    <w:rsid w:val="212217C9"/>
    <w:rsid w:val="26AB0F8F"/>
    <w:rsid w:val="2A73C468"/>
    <w:rsid w:val="2B7D22E8"/>
    <w:rsid w:val="2C0E3403"/>
    <w:rsid w:val="2DCEFB73"/>
    <w:rsid w:val="2E375CF2"/>
    <w:rsid w:val="37586B1B"/>
    <w:rsid w:val="384A3848"/>
    <w:rsid w:val="38BDE78D"/>
    <w:rsid w:val="3B2F327D"/>
    <w:rsid w:val="3F400DAB"/>
    <w:rsid w:val="400AC398"/>
    <w:rsid w:val="409279CC"/>
    <w:rsid w:val="43F25F4E"/>
    <w:rsid w:val="536075AA"/>
    <w:rsid w:val="54300421"/>
    <w:rsid w:val="5698166C"/>
    <w:rsid w:val="599FCA1C"/>
    <w:rsid w:val="59A24E29"/>
    <w:rsid w:val="59C44F9A"/>
    <w:rsid w:val="6923E47E"/>
    <w:rsid w:val="6D10F374"/>
    <w:rsid w:val="6FC6D880"/>
    <w:rsid w:val="71634A1A"/>
    <w:rsid w:val="736A21AC"/>
    <w:rsid w:val="75043AB8"/>
    <w:rsid w:val="766AC6B6"/>
    <w:rsid w:val="78683C70"/>
    <w:rsid w:val="799EE50C"/>
    <w:rsid w:val="7FD18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D6F9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577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DA3"/>
    <w:pPr>
      <w:ind w:left="720"/>
      <w:contextualSpacing/>
    </w:pPr>
  </w:style>
  <w:style w:type="character" w:customStyle="1" w:styleId="question-label">
    <w:name w:val="question-label"/>
    <w:basedOn w:val="DefaultParagraphFont"/>
    <w:rsid w:val="00D5255E"/>
  </w:style>
  <w:style w:type="character" w:customStyle="1" w:styleId="required">
    <w:name w:val="required"/>
    <w:basedOn w:val="DefaultParagraphFont"/>
    <w:rsid w:val="00D5255E"/>
  </w:style>
  <w:style w:type="character" w:customStyle="1" w:styleId="option-label">
    <w:name w:val="option-label"/>
    <w:basedOn w:val="DefaultParagraphFont"/>
    <w:rsid w:val="00D5255E"/>
  </w:style>
  <w:style w:type="character" w:customStyle="1" w:styleId="Heading4Char">
    <w:name w:val="Heading 4 Char"/>
    <w:basedOn w:val="DefaultParagraphFont"/>
    <w:link w:val="Heading4"/>
    <w:uiPriority w:val="9"/>
    <w:rsid w:val="00B5771A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user-generated">
    <w:name w:val="user-generated"/>
    <w:basedOn w:val="DefaultParagraphFont"/>
    <w:rsid w:val="00B5771A"/>
  </w:style>
  <w:style w:type="character" w:customStyle="1" w:styleId="checkbox-button-label-text">
    <w:name w:val="checkbox-button-label-text"/>
    <w:basedOn w:val="DefaultParagraphFont"/>
    <w:rsid w:val="009033DC"/>
  </w:style>
  <w:style w:type="paragraph" w:customStyle="1" w:styleId="Default">
    <w:name w:val="Default"/>
    <w:rsid w:val="00D323C1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3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3C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3C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C0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F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333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6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BEE"/>
  </w:style>
  <w:style w:type="paragraph" w:styleId="Footer">
    <w:name w:val="footer"/>
    <w:basedOn w:val="Normal"/>
    <w:link w:val="FooterChar"/>
    <w:uiPriority w:val="99"/>
    <w:unhideWhenUsed/>
    <w:rsid w:val="00686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BEE"/>
  </w:style>
  <w:style w:type="paragraph" w:customStyle="1" w:styleId="pf0">
    <w:name w:val="pf0"/>
    <w:basedOn w:val="Normal"/>
    <w:rsid w:val="009C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f01">
    <w:name w:val="cf01"/>
    <w:basedOn w:val="DefaultParagraphFont"/>
    <w:rsid w:val="009C6BCA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B75CAC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0B1B91"/>
    <w:pPr>
      <w:spacing w:after="0" w:line="240" w:lineRule="auto"/>
    </w:pPr>
  </w:style>
  <w:style w:type="paragraph" w:customStyle="1" w:styleId="Pa2">
    <w:name w:val="Pa2"/>
    <w:basedOn w:val="Default"/>
    <w:next w:val="Default"/>
    <w:uiPriority w:val="99"/>
    <w:rsid w:val="00FC459E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FC459E"/>
    <w:pPr>
      <w:spacing w:line="241" w:lineRule="atLeast"/>
    </w:pPr>
    <w:rPr>
      <w:rFonts w:cstheme="minorBidi"/>
      <w:color w:val="auto"/>
    </w:rPr>
  </w:style>
  <w:style w:type="table" w:styleId="GridTable2">
    <w:name w:val="Grid Table 2"/>
    <w:basedOn w:val="TableNormal"/>
    <w:uiPriority w:val="47"/>
    <w:rsid w:val="00003B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03B6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3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0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9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6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7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9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9FA53-2B7A-452E-86C8-732374C3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2024-04-18T07:09:00Z</dcterms:created>
  <dcterms:modified xsi:type="dcterms:W3CDTF">2024-05-26T08:15:00Z</dcterms:modified>
</cp:coreProperties>
</file>